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1E" w:rsidRDefault="00D1721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1721E" w:rsidRDefault="00D1721E">
      <w:pPr>
        <w:pStyle w:val="ConsPlusNormal"/>
        <w:jc w:val="both"/>
        <w:outlineLvl w:val="0"/>
      </w:pPr>
    </w:p>
    <w:p w:rsidR="00D1721E" w:rsidRDefault="00D1721E">
      <w:pPr>
        <w:pStyle w:val="ConsPlusNormal"/>
        <w:outlineLvl w:val="0"/>
      </w:pPr>
      <w:r>
        <w:t>Зарегистрировано в Минюсте России 16 июля 2020 г. N 58980</w:t>
      </w:r>
    </w:p>
    <w:p w:rsidR="00D1721E" w:rsidRDefault="00D172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721E" w:rsidRDefault="00D1721E">
      <w:pPr>
        <w:pStyle w:val="ConsPlusNormal"/>
        <w:jc w:val="both"/>
      </w:pPr>
    </w:p>
    <w:p w:rsidR="00D1721E" w:rsidRDefault="00D1721E">
      <w:pPr>
        <w:pStyle w:val="ConsPlusTitle"/>
        <w:jc w:val="center"/>
      </w:pPr>
      <w:r>
        <w:t>МИНИСТЕРСТВО СТРОИТЕЛЬСТВА И ЖИЛИЩНО-КОММУНАЛЬНОГО</w:t>
      </w:r>
    </w:p>
    <w:p w:rsidR="00D1721E" w:rsidRDefault="00D1721E">
      <w:pPr>
        <w:pStyle w:val="ConsPlusTitle"/>
        <w:jc w:val="center"/>
      </w:pPr>
      <w:r>
        <w:t>ХОЗЯЙСТВА РОССИЙСКОЙ ФЕДЕРАЦИИ</w:t>
      </w:r>
    </w:p>
    <w:p w:rsidR="00D1721E" w:rsidRDefault="00D1721E">
      <w:pPr>
        <w:pStyle w:val="ConsPlusTitle"/>
        <w:jc w:val="center"/>
      </w:pPr>
    </w:p>
    <w:p w:rsidR="00D1721E" w:rsidRDefault="00D1721E">
      <w:pPr>
        <w:pStyle w:val="ConsPlusTitle"/>
        <w:jc w:val="center"/>
      </w:pPr>
      <w:r>
        <w:t>ПРИКАЗ</w:t>
      </w:r>
    </w:p>
    <w:p w:rsidR="00D1721E" w:rsidRDefault="00D1721E">
      <w:pPr>
        <w:pStyle w:val="ConsPlusTitle"/>
        <w:jc w:val="center"/>
      </w:pPr>
      <w:r>
        <w:t>от 2 июня 2020 г. N 297/</w:t>
      </w:r>
      <w:proofErr w:type="gramStart"/>
      <w:r>
        <w:t>пр</w:t>
      </w:r>
      <w:proofErr w:type="gramEnd"/>
    </w:p>
    <w:p w:rsidR="00D1721E" w:rsidRDefault="00D1721E">
      <w:pPr>
        <w:pStyle w:val="ConsPlusTitle"/>
        <w:jc w:val="center"/>
      </w:pPr>
    </w:p>
    <w:p w:rsidR="00D1721E" w:rsidRDefault="00D1721E">
      <w:pPr>
        <w:pStyle w:val="ConsPlusTitle"/>
        <w:jc w:val="center"/>
      </w:pPr>
      <w:r>
        <w:t>ОБ УТВЕРЖДЕНИИ МЕТОДИКИ</w:t>
      </w:r>
    </w:p>
    <w:p w:rsidR="00D1721E" w:rsidRDefault="00D1721E">
      <w:pPr>
        <w:pStyle w:val="ConsPlusTitle"/>
        <w:jc w:val="center"/>
      </w:pPr>
      <w:r>
        <w:t>ОПРЕДЕЛЕНИЯ ЗАТРАТ НА ОСУЩЕСТВЛЕНИЕ ФУНКЦИЙ</w:t>
      </w:r>
    </w:p>
    <w:p w:rsidR="00D1721E" w:rsidRDefault="00D1721E">
      <w:pPr>
        <w:pStyle w:val="ConsPlusTitle"/>
        <w:jc w:val="center"/>
      </w:pPr>
      <w:r>
        <w:t>ТЕХНИЧЕСКОГО ЗАКАЗЧИКА</w:t>
      </w:r>
    </w:p>
    <w:p w:rsidR="00D1721E" w:rsidRDefault="00D1721E">
      <w:pPr>
        <w:pStyle w:val="ConsPlusNormal"/>
        <w:jc w:val="both"/>
      </w:pPr>
    </w:p>
    <w:p w:rsidR="00D1721E" w:rsidRDefault="00D1721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33 статьи 1</w:t>
        </w:r>
      </w:hyperlink>
      <w:r>
        <w:t xml:space="preserve">, </w:t>
      </w:r>
      <w:hyperlink r:id="rId7" w:history="1">
        <w:r>
          <w:rPr>
            <w:color w:val="0000FF"/>
          </w:rPr>
          <w:t>пунктом 7.5 части 1 статьи 6</w:t>
        </w:r>
      </w:hyperlink>
      <w:r>
        <w:t xml:space="preserve">, </w:t>
      </w:r>
      <w:hyperlink r:id="rId8" w:history="1">
        <w:r>
          <w:rPr>
            <w:color w:val="0000FF"/>
          </w:rPr>
          <w:t>частью 3 статьи 8.3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</w:t>
      </w:r>
      <w:proofErr w:type="gramStart"/>
      <w:r>
        <w:t xml:space="preserve">официальный интернет-портал правовой информации http://www.pravo.gov.ru, 24 апреля 2020 г., N 0001202004240048), </w:t>
      </w:r>
      <w:hyperlink r:id="rId9" w:history="1">
        <w:r>
          <w:rPr>
            <w:color w:val="0000FF"/>
          </w:rPr>
          <w:t>подпунктом 5.4.23.1 пункта 5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2020, N 7, ст. 831), приказываю:</w:t>
      </w:r>
      <w:proofErr w:type="gramEnd"/>
    </w:p>
    <w:p w:rsidR="00D1721E" w:rsidRDefault="00D1721E">
      <w:pPr>
        <w:pStyle w:val="ConsPlusNormal"/>
        <w:spacing w:before="220"/>
        <w:ind w:firstLine="540"/>
        <w:jc w:val="both"/>
      </w:pPr>
      <w:r>
        <w:t xml:space="preserve">утвердить прилагаемую </w:t>
      </w:r>
      <w:hyperlink w:anchor="P30" w:history="1">
        <w:r>
          <w:rPr>
            <w:color w:val="0000FF"/>
          </w:rPr>
          <w:t>Методику</w:t>
        </w:r>
      </w:hyperlink>
      <w:r>
        <w:t xml:space="preserve"> определения затрат на осуществление функций технического заказчика.</w:t>
      </w:r>
    </w:p>
    <w:p w:rsidR="00D1721E" w:rsidRDefault="00D1721E">
      <w:pPr>
        <w:pStyle w:val="ConsPlusNormal"/>
        <w:jc w:val="both"/>
      </w:pPr>
    </w:p>
    <w:p w:rsidR="00D1721E" w:rsidRDefault="00D1721E">
      <w:pPr>
        <w:pStyle w:val="ConsPlusNormal"/>
        <w:jc w:val="right"/>
      </w:pPr>
      <w:r>
        <w:t>Министр</w:t>
      </w:r>
    </w:p>
    <w:p w:rsidR="00D1721E" w:rsidRDefault="00D1721E">
      <w:pPr>
        <w:pStyle w:val="ConsPlusNormal"/>
        <w:jc w:val="right"/>
      </w:pPr>
      <w:r>
        <w:t>В.В.ЯКУШЕВ</w:t>
      </w:r>
    </w:p>
    <w:p w:rsidR="00D1721E" w:rsidRDefault="00D1721E">
      <w:pPr>
        <w:pStyle w:val="ConsPlusNormal"/>
        <w:jc w:val="both"/>
      </w:pPr>
    </w:p>
    <w:p w:rsidR="00D1721E" w:rsidRDefault="00D1721E">
      <w:pPr>
        <w:pStyle w:val="ConsPlusNormal"/>
        <w:jc w:val="both"/>
      </w:pPr>
    </w:p>
    <w:p w:rsidR="00D1721E" w:rsidRDefault="00D1721E">
      <w:pPr>
        <w:pStyle w:val="ConsPlusNormal"/>
        <w:jc w:val="both"/>
      </w:pPr>
    </w:p>
    <w:p w:rsidR="00D1721E" w:rsidRDefault="00D1721E">
      <w:pPr>
        <w:pStyle w:val="ConsPlusNormal"/>
        <w:jc w:val="both"/>
      </w:pPr>
    </w:p>
    <w:p w:rsidR="00D1721E" w:rsidRDefault="00D1721E">
      <w:pPr>
        <w:pStyle w:val="ConsPlusNormal"/>
        <w:jc w:val="both"/>
      </w:pPr>
    </w:p>
    <w:p w:rsidR="00D1721E" w:rsidRDefault="00D1721E">
      <w:pPr>
        <w:pStyle w:val="ConsPlusNormal"/>
        <w:jc w:val="right"/>
        <w:outlineLvl w:val="0"/>
      </w:pPr>
      <w:r>
        <w:t>Утверждена</w:t>
      </w:r>
    </w:p>
    <w:p w:rsidR="00D1721E" w:rsidRDefault="00D1721E">
      <w:pPr>
        <w:pStyle w:val="ConsPlusNormal"/>
        <w:jc w:val="right"/>
      </w:pPr>
      <w:r>
        <w:t>приказом Министерства строительства</w:t>
      </w:r>
    </w:p>
    <w:p w:rsidR="00D1721E" w:rsidRDefault="00D1721E">
      <w:pPr>
        <w:pStyle w:val="ConsPlusNormal"/>
        <w:jc w:val="right"/>
      </w:pPr>
      <w:r>
        <w:t>и жилищно-коммунального хозяйства</w:t>
      </w:r>
    </w:p>
    <w:p w:rsidR="00D1721E" w:rsidRDefault="00D1721E">
      <w:pPr>
        <w:pStyle w:val="ConsPlusNormal"/>
        <w:jc w:val="right"/>
      </w:pPr>
      <w:r>
        <w:t>Российской Федерации</w:t>
      </w:r>
    </w:p>
    <w:p w:rsidR="00D1721E" w:rsidRDefault="00D1721E">
      <w:pPr>
        <w:pStyle w:val="ConsPlusNormal"/>
        <w:jc w:val="right"/>
      </w:pPr>
      <w:r>
        <w:t>от 2 июня 2020 г. N 297/</w:t>
      </w:r>
      <w:proofErr w:type="gramStart"/>
      <w:r>
        <w:t>пр</w:t>
      </w:r>
      <w:proofErr w:type="gramEnd"/>
    </w:p>
    <w:p w:rsidR="00D1721E" w:rsidRDefault="00D1721E">
      <w:pPr>
        <w:pStyle w:val="ConsPlusNormal"/>
        <w:jc w:val="both"/>
      </w:pPr>
    </w:p>
    <w:p w:rsidR="00D1721E" w:rsidRDefault="00D1721E">
      <w:pPr>
        <w:pStyle w:val="ConsPlusTitle"/>
        <w:jc w:val="center"/>
      </w:pPr>
      <w:bookmarkStart w:id="1" w:name="P30"/>
      <w:bookmarkEnd w:id="1"/>
      <w:r>
        <w:t>МЕТОДИКА</w:t>
      </w:r>
    </w:p>
    <w:p w:rsidR="00D1721E" w:rsidRDefault="00D1721E">
      <w:pPr>
        <w:pStyle w:val="ConsPlusTitle"/>
        <w:jc w:val="center"/>
      </w:pPr>
      <w:r>
        <w:t>ОПРЕДЕЛЕНИЯ ЗАТРАТ НА ОСУЩЕСТВЛЕНИЕ ФУНКЦИЙ</w:t>
      </w:r>
    </w:p>
    <w:p w:rsidR="00D1721E" w:rsidRDefault="00D1721E">
      <w:pPr>
        <w:pStyle w:val="ConsPlusTitle"/>
        <w:jc w:val="center"/>
      </w:pPr>
      <w:r>
        <w:t>ТЕХНИЧЕСКОГО ЗАКАЗЧИКА</w:t>
      </w:r>
    </w:p>
    <w:p w:rsidR="00D1721E" w:rsidRDefault="00D1721E">
      <w:pPr>
        <w:pStyle w:val="ConsPlusNormal"/>
        <w:jc w:val="both"/>
      </w:pPr>
    </w:p>
    <w:p w:rsidR="00D1721E" w:rsidRDefault="00D1721E">
      <w:pPr>
        <w:pStyle w:val="ConsPlusTitle"/>
        <w:jc w:val="center"/>
        <w:outlineLvl w:val="1"/>
      </w:pPr>
      <w:r>
        <w:t>I. Общие положения</w:t>
      </w:r>
    </w:p>
    <w:p w:rsidR="00D1721E" w:rsidRDefault="00D1721E">
      <w:pPr>
        <w:pStyle w:val="ConsPlusNormal"/>
        <w:jc w:val="both"/>
      </w:pPr>
    </w:p>
    <w:p w:rsidR="00D1721E" w:rsidRDefault="00D1721E">
      <w:pPr>
        <w:pStyle w:val="ConsPlusNormal"/>
        <w:ind w:firstLine="540"/>
        <w:jc w:val="both"/>
      </w:pPr>
      <w:r>
        <w:t xml:space="preserve">1. Методика определения затрат на осуществление функций технического заказчика (далее - Методика) предназначена для применения при определении сметной стоимости строительства, реконструкции, капитального ремонта, сноса (далее - строительство) объектов капитального строительства в соответствии с </w:t>
      </w:r>
      <w:hyperlink r:id="rId10" w:history="1">
        <w:r>
          <w:rPr>
            <w:color w:val="0000FF"/>
          </w:rPr>
          <w:t>частью 1 статьи 8.3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официальный интернет-портал правовой информации http://www.pravo.gov.ru, 24 апреля 2020 г., N 0001202004240048) (далее - сметная стоимость строительства).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lastRenderedPageBreak/>
        <w:t xml:space="preserve">2. Затраты на осуществление функций технического заказчика (расходы на обеспечение деятельности технического заказчика, в том числе его содержание) финансируются за счет средств, предназначенных для финансирования капитального строительства, и включаются в стоимость законченного строительством объекта, за исключением случаев, указанных в </w:t>
      </w:r>
      <w:hyperlink w:anchor="P43" w:history="1">
        <w:r>
          <w:rPr>
            <w:color w:val="0000FF"/>
          </w:rPr>
          <w:t>пункте 4</w:t>
        </w:r>
      </w:hyperlink>
      <w:r>
        <w:t xml:space="preserve"> Методики.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 xml:space="preserve">3. Рекомендуемый перечень функций технического заказчика, затраты на осуществление которых определяются в соответствии с положениями Методики и включаются в сводный сметный расчет стоимости строительства (далее - ССРСС), приведен в </w:t>
      </w:r>
      <w:hyperlink w:anchor="P102" w:history="1">
        <w:r>
          <w:rPr>
            <w:color w:val="0000FF"/>
          </w:rPr>
          <w:t>Приложении N 1</w:t>
        </w:r>
      </w:hyperlink>
      <w:r>
        <w:t xml:space="preserve"> к Методике.</w:t>
      </w:r>
    </w:p>
    <w:p w:rsidR="00D1721E" w:rsidRDefault="00D1721E">
      <w:pPr>
        <w:pStyle w:val="ConsPlusNormal"/>
        <w:jc w:val="both"/>
      </w:pPr>
    </w:p>
    <w:p w:rsidR="00D1721E" w:rsidRDefault="00D1721E">
      <w:pPr>
        <w:pStyle w:val="ConsPlusTitle"/>
        <w:jc w:val="center"/>
        <w:outlineLvl w:val="1"/>
      </w:pPr>
      <w:r>
        <w:t>II. Порядок расчета затрат на осуществление функций</w:t>
      </w:r>
    </w:p>
    <w:p w:rsidR="00D1721E" w:rsidRDefault="00D1721E">
      <w:pPr>
        <w:pStyle w:val="ConsPlusTitle"/>
        <w:jc w:val="center"/>
      </w:pPr>
      <w:r>
        <w:t>технического заказчика</w:t>
      </w:r>
    </w:p>
    <w:p w:rsidR="00D1721E" w:rsidRDefault="00D1721E">
      <w:pPr>
        <w:pStyle w:val="ConsPlusNormal"/>
        <w:jc w:val="both"/>
      </w:pPr>
    </w:p>
    <w:p w:rsidR="00D1721E" w:rsidRDefault="00D1721E">
      <w:pPr>
        <w:pStyle w:val="ConsPlusNormal"/>
        <w:ind w:firstLine="540"/>
        <w:jc w:val="both"/>
      </w:pPr>
      <w:bookmarkStart w:id="2" w:name="P43"/>
      <w:bookmarkEnd w:id="2"/>
      <w:r>
        <w:t>4. Затраты на осуществление функций технического заказчика в случае финансового обеспечения его деятельности за счет капитальных вложений, выделяемых на строительство объектов капитального строительства, определяются расчетом, согласованным застройщиком, с учетом численности работников технического заказчика и включаются в графы 7 и 8 главы 10 "Содержание службы заказчика. Строительный контроль" ССРСС в уровне цен, сложившемся ко времени составления сметной документации на строительство объекта капитального строительства в составе проектной документации, без учета налога на добавленную стоимость.</w:t>
      </w:r>
    </w:p>
    <w:p w:rsidR="00D1721E" w:rsidRDefault="00D1721E">
      <w:pPr>
        <w:pStyle w:val="ConsPlusNormal"/>
        <w:spacing w:before="220"/>
        <w:ind w:firstLine="540"/>
        <w:jc w:val="both"/>
      </w:pPr>
      <w:proofErr w:type="gramStart"/>
      <w:r>
        <w:t xml:space="preserve">В случае, если функции технического заказчика по объекту капитального строительства осуществляет уполномоченная застройщиком организация, деятельность которой финансируется за счет целевых средств, выделяемых на ее текущее содержание на основании утвержденной в установленном бюджетным законодательством Российской Федерации порядке в рамках лимитов бюджетных обязательств, и иных средств, не предусмотренных в </w:t>
      </w:r>
      <w:hyperlink w:anchor="P43" w:history="1">
        <w:r>
          <w:rPr>
            <w:color w:val="0000FF"/>
          </w:rPr>
          <w:t>абзаце первом</w:t>
        </w:r>
      </w:hyperlink>
      <w:r>
        <w:t xml:space="preserve"> настоящего пункта, затраты на осуществление функций технического заказчика в ССРСС не</w:t>
      </w:r>
      <w:proofErr w:type="gramEnd"/>
      <w:r>
        <w:t xml:space="preserve"> включаются.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Затраты на осуществление функций технического заказчика определяются без учета затрат на осуществление функций строительного контроля, расходы на проведение которого определяются в соответствии с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июня 2010 г. N 468 "О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 (Собрание законодательства Российской Федерации, 2010, N 26, ст. 3365).</w:t>
      </w:r>
      <w:proofErr w:type="gramEnd"/>
    </w:p>
    <w:p w:rsidR="00D1721E" w:rsidRDefault="00D1721E">
      <w:pPr>
        <w:pStyle w:val="ConsPlusNormal"/>
        <w:spacing w:before="220"/>
        <w:ind w:firstLine="540"/>
        <w:jc w:val="both"/>
      </w:pPr>
      <w:r>
        <w:t>6. Затраты, связанные с осуществлением функций технического заказчика (например, на проведение профилактических и дезинфекционных мероприятий по предупреждению распространения новой коронавирусной инфекции среди работников строительной отрасли), дополнительно возникающие при осуществлении им таких функций, учитываются в главах 1, 9, 12 ССРСС согласно сметным нормативам, сведения о которых включены в федеральный реестр сметных нормативов.</w:t>
      </w:r>
    </w:p>
    <w:p w:rsidR="00D1721E" w:rsidRDefault="00D1721E">
      <w:pPr>
        <w:pStyle w:val="ConsPlusNormal"/>
        <w:spacing w:before="220"/>
        <w:ind w:firstLine="540"/>
        <w:jc w:val="both"/>
      </w:pPr>
      <w:bookmarkStart w:id="3" w:name="P47"/>
      <w:bookmarkEnd w:id="3"/>
      <w:r>
        <w:t xml:space="preserve">7. </w:t>
      </w:r>
      <w:proofErr w:type="gramStart"/>
      <w:r>
        <w:t xml:space="preserve">Численность работников технического заказчика без учета численности работников, выполняющих обязанности по осуществлению функций строительного контроля (далее - работники технического заказчика), определяется исходя из величины сметной стоимости строительства объекта капитального строительства по итогам глав 1 - 9 и 12 ССРСС, определенной в уровне цен, сложившемся ко времени составления сметной документации, согласно показателям, приведенным в </w:t>
      </w:r>
      <w:hyperlink w:anchor="P163" w:history="1">
        <w:r>
          <w:rPr>
            <w:color w:val="0000FF"/>
          </w:rPr>
          <w:t>столбце 2</w:t>
        </w:r>
      </w:hyperlink>
      <w:r>
        <w:t xml:space="preserve"> Приложения N 2.</w:t>
      </w:r>
      <w:proofErr w:type="gramEnd"/>
    </w:p>
    <w:p w:rsidR="00D1721E" w:rsidRDefault="00D1721E">
      <w:pPr>
        <w:pStyle w:val="ConsPlusNormal"/>
        <w:spacing w:before="220"/>
        <w:ind w:firstLine="540"/>
        <w:jc w:val="both"/>
      </w:pPr>
      <w:r>
        <w:t xml:space="preserve">При сметной стоимости строительства свыше 6500 </w:t>
      </w:r>
      <w:proofErr w:type="gramStart"/>
      <w:r>
        <w:t>млн</w:t>
      </w:r>
      <w:proofErr w:type="gramEnd"/>
      <w:r>
        <w:t xml:space="preserve"> руб. численность работников технического заказчика увеличивается на одного человека на каждые 700 млн руб. свыше указанной суммы.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lastRenderedPageBreak/>
        <w:t xml:space="preserve">Численность работников технического заказчика включает доли участия всех категорий работников технического заказчика за исключением обслуживающего персонала (водителей служебного автотранспорта, уборщиц, сторожевой охраны и тому подобное), затраты на содержание которых учитываются при расчете соответствующих статей затрат в соответствии с </w:t>
      </w:r>
      <w:hyperlink w:anchor="P56" w:history="1">
        <w:r>
          <w:rPr>
            <w:color w:val="0000FF"/>
          </w:rPr>
          <w:t>пунктом 12</w:t>
        </w:r>
      </w:hyperlink>
      <w:r>
        <w:t xml:space="preserve"> Методики.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 xml:space="preserve">8. Численность работников технического заказчика определяется как сумма численности работников, рассчитанной согласно </w:t>
      </w:r>
      <w:hyperlink w:anchor="P154" w:history="1">
        <w:r>
          <w:rPr>
            <w:color w:val="0000FF"/>
          </w:rPr>
          <w:t>Приложению N 2</w:t>
        </w:r>
      </w:hyperlink>
      <w:r>
        <w:t xml:space="preserve"> к Методике, исходя из сметной стоимости затрат, указанных в главе 2 ССРСС, в целях определения суммы сметной стоимости затрат, указанных в главах 1, 3 - 9 и 12 ССРСС для следующих объектов: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 xml:space="preserve">а) объекты, относящиеся в соответствии со </w:t>
      </w:r>
      <w:hyperlink r:id="rId12" w:history="1">
        <w:r>
          <w:rPr>
            <w:color w:val="0000FF"/>
          </w:rPr>
          <w:t>статьей 48.1</w:t>
        </w:r>
      </w:hyperlink>
      <w:r>
        <w:t xml:space="preserve"> Градостроительного кодекса Российской Федерации к особо опасным, технически сложным и уникальным объектам капитального строительства;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 xml:space="preserve">б) линейные объекты, за исключением случаев, если в отношении линейного объекта проводятся работы по реконструкции и капитальному ремонту, если размещение линейного объекта планируется осуществлять на землях или земельных участках, находящихся в государственной или муниципальной собственности, и для размещения такого линейного объекта не требуются предоставление земельных участков, находящихся в государственной или муниципальной собственности, и установление сервитутов, а </w:t>
      </w:r>
      <w:proofErr w:type="gramStart"/>
      <w:r>
        <w:t>также</w:t>
      </w:r>
      <w:proofErr w:type="gramEnd"/>
      <w:r>
        <w:t xml:space="preserve"> если в соответствии с </w:t>
      </w:r>
      <w:hyperlink r:id="rId13" w:history="1">
        <w:r>
          <w:rPr>
            <w:color w:val="0000FF"/>
          </w:rPr>
          <w:t>частью 23 статьи 2</w:t>
        </w:r>
      </w:hyperlink>
      <w:r>
        <w:t xml:space="preserve"> Федерального закона от 30 декабря 2009 г. N 384-ФЗ "Технический регламент о безопасности зданий и сооружений" (Собрание законодательства Российской Федерации, 2010, N 1, ст. 5; 2013, N 27, ст. 3477) линейный объект не отвечает признакам сооружения.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Численность работников технического заказчика линейного объекта, включающего в себя часть основного линейного объекта и объекта (объектов), не являющихся линейными, по решению застройщика допускается определять суммированием численности, принятой согласно </w:t>
      </w:r>
      <w:hyperlink w:anchor="P154" w:history="1">
        <w:r>
          <w:rPr>
            <w:color w:val="0000FF"/>
          </w:rPr>
          <w:t>Приложению N 2</w:t>
        </w:r>
      </w:hyperlink>
      <w:r>
        <w:t xml:space="preserve"> к Методике, определенной отдельно исходя из сметной стоимости основного линейного объекта, предусмотренной в главе 2 ССРСС, а также сметной стоимости объекта (объектов), не являющихся линейными, включенной в главу 2</w:t>
      </w:r>
      <w:proofErr w:type="gramEnd"/>
      <w:r>
        <w:t xml:space="preserve"> ССРСС, и общей сметной стоимости итогов по главам 1, 3 - 9 и 12 ССРСС.</w:t>
      </w:r>
    </w:p>
    <w:p w:rsidR="00D1721E" w:rsidRDefault="00D1721E">
      <w:pPr>
        <w:pStyle w:val="ConsPlusNormal"/>
        <w:spacing w:before="220"/>
        <w:ind w:firstLine="540"/>
        <w:jc w:val="both"/>
      </w:pPr>
      <w:bookmarkStart w:id="4" w:name="P54"/>
      <w:bookmarkEnd w:id="4"/>
      <w:r>
        <w:t xml:space="preserve">10. При наличии информации об осуществлении функций технического заказчика по объектам, расположенным в малообжитых труднодоступных местностях, или по нескольким объектам, расположенным в различных субъектах Российской Федерации, к численности, определенной в соответствии с </w:t>
      </w:r>
      <w:hyperlink w:anchor="P154" w:history="1">
        <w:r>
          <w:rPr>
            <w:color w:val="0000FF"/>
          </w:rPr>
          <w:t>Приложением N 2</w:t>
        </w:r>
      </w:hyperlink>
      <w:r>
        <w:t xml:space="preserve"> к Методике, применяется поправочный коэффициент в размере 1,6 с последующим округлением до ближайшего целого числа.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 xml:space="preserve">11. Численность работников технического заказчика, определенная в соответствии с </w:t>
      </w:r>
      <w:hyperlink w:anchor="P154" w:history="1">
        <w:r>
          <w:rPr>
            <w:color w:val="0000FF"/>
          </w:rPr>
          <w:t>Приложением N 2</w:t>
        </w:r>
      </w:hyperlink>
      <w:r>
        <w:t xml:space="preserve"> к Методике с учетом </w:t>
      </w:r>
      <w:hyperlink w:anchor="P47" w:history="1">
        <w:r>
          <w:rPr>
            <w:color w:val="0000FF"/>
          </w:rPr>
          <w:t>пунктов 7</w:t>
        </w:r>
      </w:hyperlink>
      <w:r>
        <w:t xml:space="preserve"> - </w:t>
      </w:r>
      <w:hyperlink w:anchor="P54" w:history="1">
        <w:r>
          <w:rPr>
            <w:color w:val="0000FF"/>
          </w:rPr>
          <w:t>10</w:t>
        </w:r>
      </w:hyperlink>
      <w:r>
        <w:t xml:space="preserve"> Методики, является среднемесячной для всего периода строительства. Общие расходы на оплату труда работников технического заказчика, осуществляющего функции технического заказчика, определяются с учетом продолжительности строительства объекта.</w:t>
      </w:r>
    </w:p>
    <w:p w:rsidR="00D1721E" w:rsidRDefault="00D1721E">
      <w:pPr>
        <w:pStyle w:val="ConsPlusNormal"/>
        <w:spacing w:before="220"/>
        <w:ind w:firstLine="540"/>
        <w:jc w:val="both"/>
      </w:pPr>
      <w:bookmarkStart w:id="5" w:name="P56"/>
      <w:bookmarkEnd w:id="5"/>
      <w:r>
        <w:t xml:space="preserve">12. Перечень затрат на осуществление функций технического заказчика определяется и обосновывается расчетом в соответствии с </w:t>
      </w:r>
      <w:hyperlink w:anchor="P57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87" w:history="1">
        <w:r>
          <w:rPr>
            <w:color w:val="0000FF"/>
          </w:rPr>
          <w:t>22</w:t>
        </w:r>
      </w:hyperlink>
      <w:r>
        <w:t xml:space="preserve"> Методики.</w:t>
      </w:r>
    </w:p>
    <w:p w:rsidR="00D1721E" w:rsidRDefault="00D1721E">
      <w:pPr>
        <w:pStyle w:val="ConsPlusNormal"/>
        <w:spacing w:before="220"/>
        <w:ind w:firstLine="540"/>
        <w:jc w:val="both"/>
      </w:pPr>
      <w:bookmarkStart w:id="6" w:name="P57"/>
      <w:bookmarkEnd w:id="6"/>
      <w:r>
        <w:t xml:space="preserve">13. Затраты на оплату труда определяются по расчету в соответствии с численностью работников технического заказчика, определенной на основании </w:t>
      </w:r>
      <w:hyperlink w:anchor="P47" w:history="1">
        <w:r>
          <w:rPr>
            <w:color w:val="0000FF"/>
          </w:rPr>
          <w:t>пунктов 7</w:t>
        </w:r>
      </w:hyperlink>
      <w:r>
        <w:t xml:space="preserve"> - </w:t>
      </w:r>
      <w:hyperlink w:anchor="P54" w:history="1">
        <w:r>
          <w:rPr>
            <w:color w:val="0000FF"/>
          </w:rPr>
          <w:t>10</w:t>
        </w:r>
      </w:hyperlink>
      <w:r>
        <w:t xml:space="preserve"> Методики, и размером средней заработной платы согласно штатному расписанию (при наличии). Средняя заработная плата работников технического заказчика определяется в размере, не превышающем произведение среднемесячного размера оплаты труда рабочего четвертого </w:t>
      </w:r>
      <w:proofErr w:type="gramStart"/>
      <w:r>
        <w:t>разряда</w:t>
      </w:r>
      <w:proofErr w:type="gramEnd"/>
      <w:r>
        <w:t xml:space="preserve"> на коэффициент приведения величины нормируемой заработной платы рабочего четвертого разряда к средней заработной плате работника технического заказчика, равный 1,35.</w:t>
      </w:r>
    </w:p>
    <w:p w:rsidR="00D1721E" w:rsidRDefault="00D1721E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Размер оплаты труда рабочего четвертого разряда рассчитывается как произведение размера оплаты труда рабочего первого разряда, занятого в строительной отрасли, установленного в субъекте Российской Федерации за предыдущий год в соответствии с </w:t>
      </w:r>
      <w:hyperlink r:id="rId14" w:history="1">
        <w:r>
          <w:rPr>
            <w:color w:val="0000FF"/>
          </w:rPr>
          <w:t>Правилами</w:t>
        </w:r>
      </w:hyperlink>
      <w:r>
        <w:t xml:space="preserve"> мониторинга цен строительных ресурсов, утвержденными постановлением Правительства Российской Федерации от 23 декабря 2016 г. N 1452 (Собрание законодательства Российской Федерации, 2017, N 1, ст. 184;</w:t>
      </w:r>
      <w:proofErr w:type="gramEnd"/>
      <w:r>
        <w:t xml:space="preserve"> </w:t>
      </w:r>
      <w:proofErr w:type="gramStart"/>
      <w:r>
        <w:t>2019, N 21, ст. 2566), на межразрядный коэффициент, равный 1,34.</w:t>
      </w:r>
      <w:proofErr w:type="gramEnd"/>
    </w:p>
    <w:p w:rsidR="00D1721E" w:rsidRDefault="00D1721E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Средняя заработная плата работников технического заказчика учитывает доплаты и надбавки к тарифным ставкам и окладам, носящие систематический характер и осуществляемые в соответствии с законодательством Российской Федерации за профессиональное мастерство, выслугу лет (стаж работы), вознаграждения без единовременных премий, выплаты, связанные с районным регулированием, единовременные поощрительные выплаты, ежегодные основные и дополнительные отпуска, процентную надбавку за непрерывный стаж работы в районах Крайнего Севера</w:t>
      </w:r>
      <w:proofErr w:type="gramEnd"/>
      <w:r>
        <w:t xml:space="preserve"> и приравненных к ним районам и другие выплаты при наличии действующих нормативных правовых актов, регламентирующих данную сферу.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Пересчет средней заработной платы работников технического заказчика из уровня цен, в котором приведена опубликованная средняя начисленная заработная плата работников по категориям персонала и субъектам Российской Федерации, в уровень цен на дату составления расчета затрат на осуществление функций технического заказчика осуществляется с учетом индекса потребительских цен (коэффициент инфляции) в среднем за год, публикуемого Министерством экономического развития Российской Федерации, по строке "Индекс</w:t>
      </w:r>
      <w:proofErr w:type="gramEnd"/>
      <w:r>
        <w:t xml:space="preserve"> потребительских цен в среднем за год" на текущий год.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 xml:space="preserve">16. При наличии информации о конкретном юридическом лице, осуществляющем функции технического заказчика по объекту, расходы на оплату труда могут определяться в соответствии с размером средней заработной платы согласно штатному расписанию (при наличии) и обоснованным долевым участием специалистов согласно их квалификации в пределах общей расчетной численности по объекту, согласованным с застройщиком. При этом средняя заработная плата работников такого технического заказчика не должна превышать среднюю заработную плату работников технического заказчика, определенную в соответствии с </w:t>
      </w:r>
      <w:hyperlink w:anchor="P57" w:history="1">
        <w:r>
          <w:rPr>
            <w:color w:val="0000FF"/>
          </w:rPr>
          <w:t>пунктом 13</w:t>
        </w:r>
      </w:hyperlink>
      <w:r>
        <w:t xml:space="preserve"> Методики.</w:t>
      </w:r>
    </w:p>
    <w:p w:rsidR="00D1721E" w:rsidRDefault="00D1721E">
      <w:pPr>
        <w:pStyle w:val="ConsPlusNormal"/>
        <w:spacing w:before="220"/>
        <w:ind w:firstLine="540"/>
        <w:jc w:val="both"/>
      </w:pPr>
      <w:bookmarkStart w:id="7" w:name="P62"/>
      <w:bookmarkEnd w:id="7"/>
      <w:r>
        <w:t xml:space="preserve">17. Средняя заработная плата работников технического заказчика по линейным объектам, а также объектам, относящимся в соответствии со </w:t>
      </w:r>
      <w:hyperlink r:id="rId15" w:history="1">
        <w:r>
          <w:rPr>
            <w:color w:val="0000FF"/>
          </w:rPr>
          <w:t>статьей 48.1</w:t>
        </w:r>
      </w:hyperlink>
      <w:r>
        <w:t xml:space="preserve"> Градостроительного кодекса Российской Федерации </w:t>
      </w:r>
      <w:proofErr w:type="gramStart"/>
      <w:r>
        <w:t>к</w:t>
      </w:r>
      <w:proofErr w:type="gramEnd"/>
      <w:r>
        <w:t xml:space="preserve"> особо опасным, технически сложным и уникальным, может превышать указанные ограничения с учетом отраслевых особенностей при соответствующем обосновании.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>18. Затраты на налоги, сборы, иные обязательные отчисления и платежи определяются в следующем порядке:</w:t>
      </w:r>
    </w:p>
    <w:p w:rsidR="00D1721E" w:rsidRDefault="00D1721E">
      <w:pPr>
        <w:pStyle w:val="ConsPlusNormal"/>
        <w:spacing w:before="220"/>
        <w:ind w:firstLine="540"/>
        <w:jc w:val="both"/>
      </w:pPr>
      <w:proofErr w:type="gramStart"/>
      <w:r>
        <w:t xml:space="preserve">а) страховые взносы - по расчету в соответствии со </w:t>
      </w:r>
      <w:hyperlink r:id="rId16" w:history="1">
        <w:r>
          <w:rPr>
            <w:color w:val="0000FF"/>
          </w:rPr>
          <w:t>статьями 419</w:t>
        </w:r>
      </w:hyperlink>
      <w:r>
        <w:t xml:space="preserve">, </w:t>
      </w:r>
      <w:hyperlink r:id="rId17" w:history="1">
        <w:r>
          <w:rPr>
            <w:color w:val="0000FF"/>
          </w:rPr>
          <w:t>420</w:t>
        </w:r>
      </w:hyperlink>
      <w:r>
        <w:t xml:space="preserve">, </w:t>
      </w:r>
      <w:hyperlink r:id="rId18" w:history="1">
        <w:r>
          <w:rPr>
            <w:color w:val="0000FF"/>
          </w:rPr>
          <w:t>421</w:t>
        </w:r>
      </w:hyperlink>
      <w:r>
        <w:t xml:space="preserve">, </w:t>
      </w:r>
      <w:hyperlink r:id="rId19" w:history="1">
        <w:r>
          <w:rPr>
            <w:color w:val="0000FF"/>
          </w:rPr>
          <w:t>425</w:t>
        </w:r>
      </w:hyperlink>
      <w:r>
        <w:t xml:space="preserve">, </w:t>
      </w:r>
      <w:hyperlink r:id="rId20" w:history="1">
        <w:r>
          <w:rPr>
            <w:color w:val="0000FF"/>
          </w:rPr>
          <w:t>427</w:t>
        </w:r>
      </w:hyperlink>
      <w:r>
        <w:t xml:space="preserve">, </w:t>
      </w:r>
      <w:hyperlink r:id="rId21" w:history="1">
        <w:r>
          <w:rPr>
            <w:color w:val="0000FF"/>
          </w:rPr>
          <w:t>428</w:t>
        </w:r>
      </w:hyperlink>
      <w:r>
        <w:t xml:space="preserve">, </w:t>
      </w:r>
      <w:hyperlink r:id="rId22" w:history="1">
        <w:r>
          <w:rPr>
            <w:color w:val="0000FF"/>
          </w:rPr>
          <w:t>430</w:t>
        </w:r>
      </w:hyperlink>
      <w:r>
        <w:t xml:space="preserve"> и иными положениями Налогового кодекса Российской Федерации (Собрание законодательства Российской Федерации, 1998, N 31, ст. 3824; 2020, N 14, ст. 2032);</w:t>
      </w:r>
      <w:proofErr w:type="gramEnd"/>
    </w:p>
    <w:p w:rsidR="00D1721E" w:rsidRDefault="00D1721E">
      <w:pPr>
        <w:pStyle w:val="ConsPlusNormal"/>
        <w:spacing w:before="220"/>
        <w:ind w:firstLine="540"/>
        <w:jc w:val="both"/>
      </w:pPr>
      <w:r>
        <w:t xml:space="preserve">б) налог на имущество организаций - по расчету в соответствии со </w:t>
      </w:r>
      <w:hyperlink r:id="rId23" w:history="1">
        <w:r>
          <w:rPr>
            <w:color w:val="0000FF"/>
          </w:rPr>
          <w:t>статьями 373</w:t>
        </w:r>
      </w:hyperlink>
      <w:r>
        <w:t xml:space="preserve">, </w:t>
      </w:r>
      <w:hyperlink r:id="rId24" w:history="1">
        <w:r>
          <w:rPr>
            <w:color w:val="0000FF"/>
          </w:rPr>
          <w:t>374</w:t>
        </w:r>
      </w:hyperlink>
      <w:r>
        <w:t xml:space="preserve">, </w:t>
      </w:r>
      <w:hyperlink r:id="rId25" w:history="1">
        <w:r>
          <w:rPr>
            <w:color w:val="0000FF"/>
          </w:rPr>
          <w:t>380</w:t>
        </w:r>
      </w:hyperlink>
      <w:r>
        <w:t xml:space="preserve"> и иными положениями Налогового кодекса Российской Федерации;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 xml:space="preserve">в) транспортный налог - по расчету в соответствии со </w:t>
      </w:r>
      <w:hyperlink r:id="rId26" w:history="1">
        <w:r>
          <w:rPr>
            <w:color w:val="0000FF"/>
          </w:rPr>
          <w:t>статьями 357</w:t>
        </w:r>
      </w:hyperlink>
      <w:r>
        <w:t xml:space="preserve">, </w:t>
      </w:r>
      <w:hyperlink r:id="rId27" w:history="1">
        <w:r>
          <w:rPr>
            <w:color w:val="0000FF"/>
          </w:rPr>
          <w:t>358</w:t>
        </w:r>
      </w:hyperlink>
      <w:r>
        <w:t xml:space="preserve">, </w:t>
      </w:r>
      <w:hyperlink r:id="rId28" w:history="1">
        <w:r>
          <w:rPr>
            <w:color w:val="0000FF"/>
          </w:rPr>
          <w:t>361</w:t>
        </w:r>
      </w:hyperlink>
      <w:r>
        <w:t xml:space="preserve"> и иными положениями Налогового кодекса Российской Федерации;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 xml:space="preserve">г) земельный налог - по расчету в соответствии со </w:t>
      </w:r>
      <w:hyperlink r:id="rId29" w:history="1">
        <w:r>
          <w:rPr>
            <w:color w:val="0000FF"/>
          </w:rPr>
          <w:t>статьями 388</w:t>
        </w:r>
      </w:hyperlink>
      <w:r>
        <w:t xml:space="preserve">, </w:t>
      </w:r>
      <w:hyperlink r:id="rId30" w:history="1">
        <w:r>
          <w:rPr>
            <w:color w:val="0000FF"/>
          </w:rPr>
          <w:t>389</w:t>
        </w:r>
      </w:hyperlink>
      <w:r>
        <w:t xml:space="preserve">, </w:t>
      </w:r>
      <w:hyperlink r:id="rId31" w:history="1">
        <w:r>
          <w:rPr>
            <w:color w:val="0000FF"/>
          </w:rPr>
          <w:t>394</w:t>
        </w:r>
      </w:hyperlink>
      <w:r>
        <w:t xml:space="preserve"> и иными положениями Налогового кодекса Российской Федерации;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 xml:space="preserve">д) прочие налоги и сборы - по расчету в соответствии с законодательством Российской Федерации о налогах и сборах, законодательством субъектов Российской Федерации о налогах и </w:t>
      </w:r>
      <w:r>
        <w:lastRenderedPageBreak/>
        <w:t>сборах, нормативными правовыми актами муниципальных образований о местных налогах и сборах с расшифровкой прочих налогов и сборов.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Затраты на амортизацию основных средств и нематериальных активов определяются по расчету для зданий, сооружений, оборудования, транспортных и прочих основных средств в соответствии со </w:t>
      </w:r>
      <w:hyperlink r:id="rId32" w:history="1">
        <w:r>
          <w:rPr>
            <w:color w:val="0000FF"/>
          </w:rPr>
          <w:t>статьями 257</w:t>
        </w:r>
      </w:hyperlink>
      <w:r>
        <w:t xml:space="preserve">, </w:t>
      </w:r>
      <w:hyperlink r:id="rId33" w:history="1">
        <w:r>
          <w:rPr>
            <w:color w:val="0000FF"/>
          </w:rPr>
          <w:t>259</w:t>
        </w:r>
      </w:hyperlink>
      <w:r>
        <w:t xml:space="preserve"> Налогового кодекса Российской Федерации,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 января 2002 г. N 1 "О Классификации основных средств, включаемых в амортизационные группы" (Собрание законодательства Российской Федерации, 2002, N 1, ст. 52;</w:t>
      </w:r>
      <w:proofErr w:type="gramEnd"/>
      <w:r>
        <w:t xml:space="preserve"> </w:t>
      </w:r>
      <w:proofErr w:type="gramStart"/>
      <w:r>
        <w:t>2020, N 1, ст. 104).</w:t>
      </w:r>
      <w:proofErr w:type="gramEnd"/>
    </w:p>
    <w:p w:rsidR="00D1721E" w:rsidRDefault="00D1721E">
      <w:pPr>
        <w:pStyle w:val="ConsPlusNormal"/>
        <w:spacing w:before="220"/>
        <w:ind w:firstLine="540"/>
        <w:jc w:val="both"/>
      </w:pPr>
      <w:r>
        <w:t>20. Затраты на материальные и прочие расходы определяются в следующем порядке:</w:t>
      </w:r>
    </w:p>
    <w:p w:rsidR="00D1721E" w:rsidRDefault="00D1721E">
      <w:pPr>
        <w:pStyle w:val="ConsPlusNormal"/>
        <w:spacing w:before="220"/>
        <w:ind w:firstLine="540"/>
        <w:jc w:val="both"/>
      </w:pPr>
      <w:bookmarkStart w:id="8" w:name="P71"/>
      <w:bookmarkEnd w:id="8"/>
      <w:proofErr w:type="gramStart"/>
      <w:r>
        <w:t xml:space="preserve">а) командировочные расходы, а также расходы, связанные со служебными поездками работников, постоянная работа которых осуществляется в пути или имеет разъездной характер, - по расчету на основании численности работников технического заказчика в соответствии со </w:t>
      </w:r>
      <w:hyperlink r:id="rId35" w:history="1">
        <w:r>
          <w:rPr>
            <w:color w:val="0000FF"/>
          </w:rPr>
          <w:t>статьями 168</w:t>
        </w:r>
      </w:hyperlink>
      <w:r>
        <w:t xml:space="preserve">, </w:t>
      </w:r>
      <w:hyperlink r:id="rId36" w:history="1">
        <w:r>
          <w:rPr>
            <w:color w:val="0000FF"/>
          </w:rPr>
          <w:t>168.1</w:t>
        </w:r>
      </w:hyperlink>
      <w:r>
        <w:t xml:space="preserve"> Трудового кодекса Российской Федерации,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 октября 2002 г. N 729 "О размерах возмещения расходов, связанных со служебными командировками на территории</w:t>
      </w:r>
      <w:proofErr w:type="gramEnd"/>
      <w:r>
        <w:t xml:space="preserve">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учреждений" (Собрание законодательства Российской Федерации, 2002, N 40, ст. 3939; </w:t>
      </w:r>
      <w:proofErr w:type="gramStart"/>
      <w:r>
        <w:t xml:space="preserve">2016, N 12, ст. 1656),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декабря 2005 г. N 812 "О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учреждений" (Собрание законодательства</w:t>
      </w:r>
      <w:proofErr w:type="gramEnd"/>
      <w:r>
        <w:t xml:space="preserve"> </w:t>
      </w:r>
      <w:proofErr w:type="gramStart"/>
      <w:r>
        <w:t xml:space="preserve">Российской Федерации, 2006, N 2, ст. 187; 2019, N 30, ст. 4319),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октября 2008 г. N 749 "Об особенностях направления работников в служебные командировки" (Собрание законодательства Российской Федерации, 2008, N 42, ст. 4821; 2015, N 31, ст. 4701).</w:t>
      </w:r>
      <w:proofErr w:type="gramEnd"/>
    </w:p>
    <w:p w:rsidR="00D1721E" w:rsidRDefault="00D1721E">
      <w:pPr>
        <w:pStyle w:val="ConsPlusNormal"/>
        <w:spacing w:before="220"/>
        <w:ind w:firstLine="540"/>
        <w:jc w:val="both"/>
      </w:pPr>
      <w:r>
        <w:t xml:space="preserve">Место расположения заказчика рекомендуется выбирать преимущественно в крупном населенном пункте, находящемся вблизи объекта строительства. В отдельных случаях при обосновании в проекте организации строительства (далее - </w:t>
      </w:r>
      <w:proofErr w:type="gramStart"/>
      <w:r>
        <w:t>ПОС</w:t>
      </w:r>
      <w:proofErr w:type="gramEnd"/>
      <w:r>
        <w:t>) в расчете может быть указан иной населенный пункт. При этом потребность в командировках должна быть экономически обоснована;</w:t>
      </w:r>
    </w:p>
    <w:p w:rsidR="00D1721E" w:rsidRDefault="00D1721E">
      <w:pPr>
        <w:pStyle w:val="ConsPlusNormal"/>
        <w:spacing w:before="220"/>
        <w:ind w:firstLine="540"/>
        <w:jc w:val="both"/>
      </w:pPr>
      <w:bookmarkStart w:id="9" w:name="P73"/>
      <w:bookmarkEnd w:id="9"/>
      <w:proofErr w:type="gramStart"/>
      <w:r>
        <w:t>б) арендная плата и содержание служебного легкового автотранспорта - по расчету исходя из численности работников технического заказчика: до 50 человек - количество автомобилей не должно превышать 3, свыше 50 человек - 4 автомобиля (в том числе затраты на оплату труда водителей с обязательными начислениями страховых взносов, горюче-смазочные материалы, запасные части и оплата парковочных мест), при этом уровень комфортности устанавливается заказчиком;</w:t>
      </w:r>
      <w:proofErr w:type="gramEnd"/>
    </w:p>
    <w:p w:rsidR="00D1721E" w:rsidRDefault="00D1721E">
      <w:pPr>
        <w:pStyle w:val="ConsPlusNormal"/>
        <w:spacing w:before="220"/>
        <w:ind w:firstLine="540"/>
        <w:jc w:val="both"/>
      </w:pPr>
      <w:r>
        <w:t>в) арендная плата и содержание зданий и помещений (в том числе оборудованных мебелью), включая оплату коммунальных услуг, - по расчету на основании данных об арендной плате с учетом расходов на коммунальные услуги.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40" w:history="1">
        <w:r>
          <w:rPr>
            <w:color w:val="0000FF"/>
          </w:rPr>
          <w:t>СанПиН 2.2.2/2.4.1340-03</w:t>
        </w:r>
      </w:hyperlink>
      <w:r>
        <w:t xml:space="preserve"> "2.2.2. Гигиена труда, технологические процессы, сырье, материалы, оборудование, рабочий инструмент. 2.4. Гигиена детей и подростков. Гигиенические требования к персональным электронно-вычислительным машинам и организации работы. </w:t>
      </w:r>
      <w:proofErr w:type="gramStart"/>
      <w:r>
        <w:t xml:space="preserve">Санитарно-эпидемиологические правила и нормативы", утвержденным постановлением Главного государственного санитарного врача Российской Федерации от 3 июня 2003 г. N 118 (зарегистрировано Министерством юстиции Российской Федерации 10 июня 2003 г., регистрационный N 4673), с учетом изменений, внесенных постановлениями Главного </w:t>
      </w:r>
      <w:r>
        <w:lastRenderedPageBreak/>
        <w:t>государственного санитарного врача Российской Федерации от 25 апреля 2007 г. N 22 (зарегистрировано Министерством юстиции Российской Федерации 7 июня 2007 г., регистрационный N</w:t>
      </w:r>
      <w:proofErr w:type="gramEnd"/>
      <w:r>
        <w:t xml:space="preserve"> </w:t>
      </w:r>
      <w:proofErr w:type="gramStart"/>
      <w:r>
        <w:t>9615), от 30 апреля 2010 г. N 48 (зарегистрировано Министерством юстиции Российской Федерации 7 июня 2010 г., регистрационный N 17481), от 3 сентября 2010 г. N 116 (зарегистрировано Министерством юстиции Российской Федерации 18 октября 2010 г., регистрационный N 18748), от 21 июня 2016 г. N 81 (зарегистрировано Министерством юстиции Российской Федерации 8 августа 2016 г., регистрационный N 43153), рекомендуемая величина</w:t>
      </w:r>
      <w:proofErr w:type="gramEnd"/>
      <w:r>
        <w:t xml:space="preserve"> общей площади, приходящейся в среднем на одного работника, составляет 6 квадратных метров;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 xml:space="preserve">г) повышение квалификации кадров - по расчету в соответствии со </w:t>
      </w:r>
      <w:hyperlink r:id="rId41" w:history="1">
        <w:r>
          <w:rPr>
            <w:color w:val="0000FF"/>
          </w:rPr>
          <w:t>статьей 196</w:t>
        </w:r>
      </w:hyperlink>
      <w:r>
        <w:t xml:space="preserve"> Трудового кодекса Российской Федерации, </w:t>
      </w:r>
      <w:hyperlink r:id="rId42" w:history="1">
        <w:r>
          <w:rPr>
            <w:color w:val="0000FF"/>
          </w:rPr>
          <w:t>приказом</w:t>
        </w:r>
      </w:hyperlink>
      <w:r>
        <w:t xml:space="preserve"> Минобрнауки России от 1 июля 2013 г. N 499 "Об утверждении Порядка организации и осуществления образовательной деятельности по дополнительным профессиональным программам" (зарегистрирован Министерством юстиции Российской Федерации 20 августа 2013 г., регистрационный N 29444);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>д) приобретение (арендная плата) оргтехники, ее обслуживание - по расчету на основании численности работников технического заказчика с учетом положенных норм на обеспечение функций технического заказчика, утвержденных застройщиком;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>е) приобретение мебели - по расчету на основании численности работников технического заказчика с учетом положенных норм на обеспечение функций технического заказчика, утвержденных застройщиком;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>ж) канцелярские товары - по расчету на основании численности работников технического заказчика с учетом положенных норм на обеспечение функций технического заказчика, утвержденных застройщиком;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>з) приобретение права на использование программ для ЭВМ и баз данных (программных средств и информационных продуктов) - по расчету на основании численности работников технического заказчика с учетом положенных норм на обеспечение функций технического заказчика, утвержденных застройщиком;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>и) приобретение спецодежды - по расчету на основании численности работников технического заказчика (в том числе для руководящих и инженерно-технических работников) с учетом положенных норм на обеспечение функций технического заказчика, утвержденных застройщиком;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>к) охрана зданий и помещений - по расчету исходя из общей площади зданий и (или) помещений, определенной в соответствии с абзацем пятым настоящего подпункта;</w:t>
      </w:r>
    </w:p>
    <w:p w:rsidR="00D1721E" w:rsidRDefault="00D1721E">
      <w:pPr>
        <w:pStyle w:val="ConsPlusNormal"/>
        <w:spacing w:before="220"/>
        <w:ind w:firstLine="540"/>
        <w:jc w:val="both"/>
      </w:pPr>
      <w:bookmarkStart w:id="10" w:name="P83"/>
      <w:bookmarkEnd w:id="10"/>
      <w:r>
        <w:t>л) услуги связи и интернет - по расчету на основании численности работников технического заказчика с учетом положенных норм на обеспечение функций технического заказчика, утвержденных застройщиком;</w:t>
      </w:r>
    </w:p>
    <w:p w:rsidR="00D1721E" w:rsidRDefault="00D1721E">
      <w:pPr>
        <w:pStyle w:val="ConsPlusNormal"/>
        <w:spacing w:before="220"/>
        <w:ind w:firstLine="540"/>
        <w:jc w:val="both"/>
      </w:pPr>
      <w:proofErr w:type="gramStart"/>
      <w:r>
        <w:t xml:space="preserve">м) прочие расходы (затраты на оплату государственных пошлин, рекламу, научные исследования, членство в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проведение подрядных торгов и иные прочие расходы) - в размере не более 5% от суммы расходов, указанных в </w:t>
      </w:r>
      <w:hyperlink w:anchor="P71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83" w:history="1">
        <w:r>
          <w:rPr>
            <w:color w:val="0000FF"/>
          </w:rPr>
          <w:t>"л"</w:t>
        </w:r>
      </w:hyperlink>
      <w:r>
        <w:t xml:space="preserve"> настоящего пункта Методики;</w:t>
      </w:r>
      <w:proofErr w:type="gramEnd"/>
    </w:p>
    <w:p w:rsidR="00D1721E" w:rsidRDefault="00D1721E">
      <w:pPr>
        <w:pStyle w:val="ConsPlusNormal"/>
        <w:spacing w:before="220"/>
        <w:ind w:firstLine="540"/>
        <w:jc w:val="both"/>
      </w:pPr>
      <w:r>
        <w:t xml:space="preserve">н) затраты, связанные с премированием работников технического заказчика за досрочный ввод в эксплуатацию построенного объекта - в соответствии с лимитом затрат путем деления суммарных расходов на оплату труда, предусмотренных </w:t>
      </w:r>
      <w:hyperlink w:anchor="P57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62" w:history="1">
        <w:r>
          <w:rPr>
            <w:color w:val="0000FF"/>
          </w:rPr>
          <w:t>17</w:t>
        </w:r>
      </w:hyperlink>
      <w:r>
        <w:t xml:space="preserve"> настоящей Методики, на 12 в случаях, когда сроки продолжительности строительства в соответствии с графиком производства работ, разрабатываемом в </w:t>
      </w:r>
      <w:proofErr w:type="gramStart"/>
      <w:r>
        <w:t>ПОС</w:t>
      </w:r>
      <w:proofErr w:type="gramEnd"/>
      <w:r>
        <w:t xml:space="preserve"> в составе проектной документации по объекту, не </w:t>
      </w:r>
      <w:r>
        <w:lastRenderedPageBreak/>
        <w:t>превышают рекомендуемые нормативные сроки строительства таких объектов согласно документам в области стандартизации, и срок исполнения таких контрактов сокращен не менее чем на 5 процентов от продолжительности, установленной в ПОС.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Расчет затрат, указанных в </w:t>
      </w:r>
      <w:hyperlink w:anchor="P73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83" w:history="1">
        <w:r>
          <w:rPr>
            <w:color w:val="0000FF"/>
          </w:rPr>
          <w:t>"л" пункта 20</w:t>
        </w:r>
      </w:hyperlink>
      <w:r>
        <w:t xml:space="preserve"> Методики, выполняется с учетом результатов согласованного застройщиком конъюнктурного анализа текущих цен на основании коммерческих предложений, прайс-листов производителей и (или) поставщиков и других документов, содержащих информацию о стоимости товаров и услуг, в том числе информации о результатах государственных закупок в соответствии с требованиями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18 июля 2011 г. N 223-ФЗ</w:t>
      </w:r>
      <w:proofErr w:type="gramEnd"/>
      <w:r>
        <w:t xml:space="preserve"> "О закупках товаров, работ, услуг отдельными видами юридических лиц" (Собрание законодательства Российской Федерации, 2011, N 30, ст. 4571; официальный интернет-портал правовой информации http://www.pravo.gov.ru, 24 апреля 2020 г., N 0001202004240023),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</w:t>
      </w:r>
      <w:proofErr w:type="gramStart"/>
      <w:r>
        <w:t xml:space="preserve">официальный интернет-портал правовой информации http://www.pravo.gov.ru, 24 апреля 2020 г., N 0001202004240023),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 сентября 2015 г. N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 (Собрание законодательства Российской Федерации, 2015, N 37, ст. 5141;</w:t>
      </w:r>
      <w:proofErr w:type="gramEnd"/>
      <w:r>
        <w:t xml:space="preserve"> </w:t>
      </w:r>
      <w:proofErr w:type="gramStart"/>
      <w:r>
        <w:t>2019, N 30, ст. 4306), данных электронных торговых площадок и котировок товарно-сырьевых бирж, результатов конкурсов и аукционов, данных Федеральной службы государственной статистики.</w:t>
      </w:r>
      <w:proofErr w:type="gramEnd"/>
    </w:p>
    <w:p w:rsidR="00D1721E" w:rsidRDefault="00D1721E">
      <w:pPr>
        <w:pStyle w:val="ConsPlusNormal"/>
        <w:spacing w:before="220"/>
        <w:ind w:firstLine="540"/>
        <w:jc w:val="both"/>
      </w:pPr>
      <w:bookmarkStart w:id="11" w:name="P87"/>
      <w:bookmarkEnd w:id="11"/>
      <w:r>
        <w:t>22. Расходы на организацию проведения геодезических работ определяются по расчету в соответствии с затратами на арендную плату и поверку геодезического оборудования, арендную плату и содержание грузового и специального автотранспорта, необходимого для транспортировки указанного оборудования, с учетом количества объектов строительства, по которым осуществляются функции технического заказчика.</w:t>
      </w:r>
    </w:p>
    <w:p w:rsidR="00D1721E" w:rsidRDefault="00D1721E">
      <w:pPr>
        <w:pStyle w:val="ConsPlusNormal"/>
        <w:jc w:val="both"/>
      </w:pPr>
    </w:p>
    <w:p w:rsidR="00D1721E" w:rsidRDefault="00D1721E">
      <w:pPr>
        <w:pStyle w:val="ConsPlusNormal"/>
        <w:jc w:val="both"/>
      </w:pPr>
    </w:p>
    <w:p w:rsidR="00D1721E" w:rsidRDefault="00D1721E">
      <w:pPr>
        <w:pStyle w:val="ConsPlusNormal"/>
        <w:jc w:val="both"/>
      </w:pPr>
    </w:p>
    <w:p w:rsidR="00D1721E" w:rsidRDefault="00D1721E">
      <w:pPr>
        <w:pStyle w:val="ConsPlusNormal"/>
        <w:jc w:val="both"/>
      </w:pPr>
    </w:p>
    <w:p w:rsidR="00D1721E" w:rsidRDefault="00D1721E">
      <w:pPr>
        <w:pStyle w:val="ConsPlusNormal"/>
        <w:jc w:val="both"/>
      </w:pPr>
    </w:p>
    <w:p w:rsidR="00D1721E" w:rsidRDefault="00D1721E">
      <w:pPr>
        <w:pStyle w:val="ConsPlusNormal"/>
        <w:jc w:val="right"/>
        <w:outlineLvl w:val="1"/>
      </w:pPr>
      <w:r>
        <w:t>Приложение N 1</w:t>
      </w:r>
    </w:p>
    <w:p w:rsidR="00D1721E" w:rsidRDefault="00D1721E">
      <w:pPr>
        <w:pStyle w:val="ConsPlusNormal"/>
        <w:jc w:val="right"/>
      </w:pPr>
      <w:r>
        <w:t>к Методике определения затрат</w:t>
      </w:r>
    </w:p>
    <w:p w:rsidR="00D1721E" w:rsidRDefault="00D1721E">
      <w:pPr>
        <w:pStyle w:val="ConsPlusNormal"/>
        <w:jc w:val="right"/>
      </w:pPr>
      <w:r>
        <w:t>на осуществление функций</w:t>
      </w:r>
    </w:p>
    <w:p w:rsidR="00D1721E" w:rsidRDefault="00D1721E">
      <w:pPr>
        <w:pStyle w:val="ConsPlusNormal"/>
        <w:jc w:val="right"/>
      </w:pPr>
      <w:r>
        <w:t>технического заказчика,</w:t>
      </w:r>
    </w:p>
    <w:p w:rsidR="00D1721E" w:rsidRDefault="00D1721E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приказом Министерства</w:t>
      </w:r>
    </w:p>
    <w:p w:rsidR="00D1721E" w:rsidRDefault="00D1721E">
      <w:pPr>
        <w:pStyle w:val="ConsPlusNormal"/>
        <w:jc w:val="right"/>
      </w:pPr>
      <w:r>
        <w:t>строительства и жилищно-коммунального</w:t>
      </w:r>
    </w:p>
    <w:p w:rsidR="00D1721E" w:rsidRDefault="00D1721E">
      <w:pPr>
        <w:pStyle w:val="ConsPlusNormal"/>
        <w:jc w:val="right"/>
      </w:pPr>
      <w:r>
        <w:t>хозяйства Российской Федерации</w:t>
      </w:r>
    </w:p>
    <w:p w:rsidR="00D1721E" w:rsidRDefault="00D1721E">
      <w:pPr>
        <w:pStyle w:val="ConsPlusNormal"/>
        <w:jc w:val="right"/>
      </w:pPr>
      <w:r>
        <w:t>от 2 июня 2020 г. N 297/</w:t>
      </w:r>
      <w:proofErr w:type="gramStart"/>
      <w:r>
        <w:t>пр</w:t>
      </w:r>
      <w:proofErr w:type="gramEnd"/>
    </w:p>
    <w:p w:rsidR="00D1721E" w:rsidRDefault="00D1721E">
      <w:pPr>
        <w:pStyle w:val="ConsPlusNormal"/>
        <w:jc w:val="both"/>
      </w:pPr>
    </w:p>
    <w:p w:rsidR="00D1721E" w:rsidRDefault="00D1721E">
      <w:pPr>
        <w:pStyle w:val="ConsPlusTitle"/>
        <w:jc w:val="center"/>
      </w:pPr>
      <w:bookmarkStart w:id="12" w:name="P102"/>
      <w:bookmarkEnd w:id="12"/>
      <w:r>
        <w:t>РЕКОМЕНДУЕМЫЙ ПЕРЕЧЕНЬ</w:t>
      </w:r>
    </w:p>
    <w:p w:rsidR="00D1721E" w:rsidRDefault="00D1721E">
      <w:pPr>
        <w:pStyle w:val="ConsPlusTitle"/>
        <w:jc w:val="center"/>
      </w:pPr>
      <w:r>
        <w:t xml:space="preserve">ФУНКЦИЙ ТЕХНИЧЕСКОГО ЗАКАЗЧИКА, </w:t>
      </w:r>
      <w:proofErr w:type="gramStart"/>
      <w:r>
        <w:t>ИСПОЛЬЗУЕМЫЙ</w:t>
      </w:r>
      <w:proofErr w:type="gramEnd"/>
      <w:r>
        <w:t xml:space="preserve"> ПРИ РАСЧЕТЕ</w:t>
      </w:r>
    </w:p>
    <w:p w:rsidR="00D1721E" w:rsidRDefault="00D1721E">
      <w:pPr>
        <w:pStyle w:val="ConsPlusTitle"/>
        <w:jc w:val="center"/>
      </w:pPr>
      <w:r>
        <w:t>ЗАТРАТ НА ОСУЩЕСТВЛЕНИЕ ФУНКЦИЙ ТЕХНИЧЕСКОГО ЗАКАЗЧИКА</w:t>
      </w:r>
    </w:p>
    <w:p w:rsidR="00D1721E" w:rsidRDefault="00D1721E">
      <w:pPr>
        <w:pStyle w:val="ConsPlusNormal"/>
        <w:jc w:val="both"/>
      </w:pPr>
    </w:p>
    <w:p w:rsidR="00D1721E" w:rsidRDefault="00D1721E">
      <w:pPr>
        <w:pStyle w:val="ConsPlusNormal"/>
        <w:ind w:firstLine="540"/>
        <w:jc w:val="both"/>
      </w:pPr>
      <w:r>
        <w:t xml:space="preserve">1. </w:t>
      </w:r>
      <w:proofErr w:type="gramStart"/>
      <w:r>
        <w:t>Определение состава (общего содержания) работ с целью формирования плана по управлению проектом в строительстве (далее - проект), включая: анализ данных, определение состава работ (содержания) проекта, предпроектные проработки, планирование потребности в кадровых ресурсах, выявление потенциальных рисков проекта и определение путей их снижения, планирование и управление сроками (графиком) реализации проекта, планирование работы с возможными изменениями проекта, определение ключевых показателей эффективности и результатов проекта</w:t>
      </w:r>
      <w:proofErr w:type="gramEnd"/>
      <w:r>
        <w:t>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lastRenderedPageBreak/>
        <w:t>2. Получение технических условий подключения (технологического присоединение) к сетям инженерно-технического обеспечения.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>3. Формирование в установленном порядке плана проектно-изыскательских работ, а также плана капитального строительства, реконструкции, капитального ремонта объектов капитального строительства, сноса, подготовка документации для разработки архитектурно-планировочной концепции и (или) проектной документации, получение необходимых согласований, разрешений.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Разработка технического задания на инженерные изыскания, согласование архитектурно-планировочных решений, разработка договоров о выполнении инженерных изысканий, выбор изыскательских организаций, заключение договоров о выполнении инженерных изысканий, разработка технического задания на подготовку проектной документации, разработка договоров о подготовке проектной документации, выбор проектных организаций, заключение договоров о подготовке проектной документации, согласование с проектными организациями сроков выполнения работ, осуществление контроля за их исполнением, координация взаимодействия</w:t>
      </w:r>
      <w:proofErr w:type="gramEnd"/>
      <w:r>
        <w:t xml:space="preserve"> </w:t>
      </w:r>
      <w:proofErr w:type="gramStart"/>
      <w:r>
        <w:t>проектных, изыскательских и прочих организаций - участников проектной подготовки строительства, контроль обеспечения требуемого уровня качества проектных решений в процессе разработки и реализации проектной и рабочей документации, определение целесообразности вариантного проектирования и оптимизации предлагаемых проектных решений, приемка, хранение и передача подрядным организациям проектной и рабочей документации, ведение отчетности о ходе проектирования, своевременное информирование застройщика о необходимости внесения изменений или корректировок, а также</w:t>
      </w:r>
      <w:proofErr w:type="gramEnd"/>
      <w:r>
        <w:t xml:space="preserve"> существенного отклонения от определенных условий проектирования.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>5. Предоставление лицам, выполняющим инженерные изыскания и (или) осуществляющим подготовку проектной документации, материалов и документов, необходимых для выполнения указанных видов работ.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Обеспечение рассмотрения и согласования в установленном порядке проектной документации в государственных и муниципальных органах и прочих заинтересованных организациях, определение органов экспертизы и заключение соответствующих договоров, направление проектной документации на проведение экспертизы, организация утверждения проектной документации застройщиком (либо утверждение проектной документации, в случае, если это предусмотрено договором), а также внесение изменений в проектную документацию по результатам замечаний экспертизы.</w:t>
      </w:r>
      <w:proofErr w:type="gramEnd"/>
    </w:p>
    <w:p w:rsidR="00D1721E" w:rsidRDefault="00D1721E">
      <w:pPr>
        <w:pStyle w:val="ConsPlusNormal"/>
        <w:spacing w:before="220"/>
        <w:ind w:firstLine="540"/>
        <w:jc w:val="both"/>
      </w:pPr>
      <w:r>
        <w:t>7. Получение разрешения на строительство.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Разработка и утверждение технической части конкурсной документации, условий проведения конкурса (аукциона), разработка основных положений договора (контракта) и других разделов конкурсной документации, разработка конкурсной документации на исполнение обязанностей генерального подрядчика (подрядчика) строительства, оценка условий строительства объекта в конкурсном предложении, реализуемой подрядчиком технологии производства строительно-монтажных работ, оснащенности необходимым оборудованием и техникой, внутренней системы менеджмента качества, репутации, финансового состояния подрядной организации и других</w:t>
      </w:r>
      <w:proofErr w:type="gramEnd"/>
      <w:r>
        <w:t xml:space="preserve"> аспектов, проверка наличия необходимых документов.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Заключение договоров о строительстве объектов капитального строительства, установление требований к срокам строительства, качеству построенного объекта, рассмотрение в соответствии с проектной документацией состава и номенклатуры строительных материалов, конструкций, технологического оборудования и других видов материальных ресурсов, поставляемых подрядчиком, порядка проведения пусконаладочных работ, уточнение договорной цены работ, условий страхования рисков, связанных со строительством, требований по охране труда и технике безопасности при производстве строительно-монтажных</w:t>
      </w:r>
      <w:proofErr w:type="gramEnd"/>
      <w:r>
        <w:t xml:space="preserve"> работ, имущественной ответственности сторон за неисполнение договорных обязательств, условий конфиденциальности </w:t>
      </w:r>
      <w:r>
        <w:lastRenderedPageBreak/>
        <w:t>при выполнении контракта и прочих условий.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Получение разрешения соответствующих эксплуатирующих организаций на производство работ в зоне воздушных линий электропередач, линий связи в полосе отвода железных дорог, в местах прохождения подземных коммуникаций (кабельных, газопроводных, водопроводных, канализационных) и других расположенных на строительной площадке, использование в период строительства электроэнергии, газа, воды и пара от существующих источников в соответствии с проектом организации строительства в случае отсутствия у застройщика собственных объектов</w:t>
      </w:r>
      <w:proofErr w:type="gramEnd"/>
      <w:r>
        <w:t xml:space="preserve"> газ</w:t>
      </w:r>
      <w:proofErr w:type="gramStart"/>
      <w:r>
        <w:t>о-</w:t>
      </w:r>
      <w:proofErr w:type="gramEnd"/>
      <w:r>
        <w:t>, водо-, паро- тепло- и энергоснабжения, вырубку зеленых насаждений и пересадку деревьев, оформление порубочных билетов.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Организация создания геодезической основы строительства, выноса в натуру линий регулирования застройки и создания геодезической разбивочной основы, подготовка документов для получения разрешения на строительство, получение разрешения на строительство, подготовка земельного участка для строительства и (или) объекта капитального строительства для реконструкции или капитального ремонта, организация подготовки строительной площадки, сноса существующих зданий и сооружений, переноса инженерных коммуникаций, включая компенсационные выплаты за счет застройщика</w:t>
      </w:r>
      <w:proofErr w:type="gramEnd"/>
      <w:r>
        <w:t>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>12. Передача земельного участка генеральному подрядчику (подрядчику) строительства для проведения строительных работ.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>13. Направление в органы государственного строительного надзора извещения о начале строительства объекта капитального строительства.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>14. Предоставление лицам, осуществляющим строительство объектов капитального строительства, материалов и документов, необходимых для выполнения указанных видов работ, в том числе материалов и результатов инженерных изысканий, проектной документации, разрешения на строительство.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>15. Передача подрядчику проектной и рабочей документации, утверждение и внесение корректив в графики выполнения строительно-монтажных работ, согласование с подрядчиками перечня планируемых поставщиков материалов и привлекаемых сторонних организаций для выполнения отдельных видов строительно-монтажных работ.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Контроль за</w:t>
      </w:r>
      <w:proofErr w:type="gramEnd"/>
      <w:r>
        <w:t xml:space="preserve"> сроками получения оборудования и материалов, организации приемки, представление и рассмотрение претензий к изготовителям и поставщикам, а также участие в арбитражном обсуждении (в случае необходимости), рассмотрение и урегулирование спорных вопросов по выполнению условий договоров (контрактов) строительного подряда с подрядными организациями.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>17. Подготовка отчетности о ходе строительства и выполнении графиков производства работ, своевременное информирование застройщика в случае отклонения от сроков реализации проекта, предложение решений по сокращению и оптимизации сроков и бюджета строительства.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>18. Проверка соответствия промежуточных результатов проекта и хода его работ установленным требованиям и критериям качества, сроков выполнения работ и их стоимости.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>19. Ведение статистического учета и предоставление отчетности в установленном порядке и в соответствии с условиями договора с застройщиком, предоставление застройщику ежемесячной информации о ходе строительства, расходовании денежных средств, сроках выполнения каждого вида строительно-монтажных работ, возникновении дополнительных строительно-монтажных работ.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 xml:space="preserve">20. Проведение анализа затрат по отдельным статьям расходов строительно-монтажных работ и услуг, разработка и принятие мер по эффективному использованию выделяемых </w:t>
      </w:r>
      <w:r>
        <w:lastRenderedPageBreak/>
        <w:t>застройщиком денежных средств.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>21. Ведение бухгалтерского учета, подготовка бухгалтерской и финансовой отчетности.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>22. Участие в проверках, проводимых уполномоченными органами по контролю и надзору.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>23. Обеспечение консервации объекта капитального строительства при необходимости прекращения работ или их приостановления более чем на шесть месяцев.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>24. Участие в качестве наблюдателя при установлении причин нарушения законодательства, в результате которого причинен вред жизни или здоровью физических лиц, имуществу физических или юридических лиц в результате нарушения законодательства Российской Федерации о градостроительной деятельности.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 xml:space="preserve">25. Определение режима эксплуатации объекта в период индивидуальных и комплексных испытаний инженерных систем, оборудования, их приемки, обеспечение </w:t>
      </w:r>
      <w:proofErr w:type="gramStart"/>
      <w:r>
        <w:t>контроля за</w:t>
      </w:r>
      <w:proofErr w:type="gramEnd"/>
      <w:r>
        <w:t xml:space="preserve"> пусконаладочными работами и организацией подготовки объекта к сдаче в эксплуатацию.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>26. Проверка исполнительной документации, передача документации по приемке объекта в эксплуатацию на хранение пользователю объекта.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>27. Создание от имени и по поручению застройщика приемо-сдаточной комиссии и проведение приемки от исполнителя работ законченного строительством объекта.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>28. Представление приемо-сдаточной комиссии необходимых документов по законченному строительством объекту.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>29. Согласование сроков устранения дефектов и недоделок в соответствии с договорами с подрядными организациями.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 xml:space="preserve">30. Подготовка документов </w:t>
      </w:r>
      <w:proofErr w:type="gramStart"/>
      <w:r>
        <w:t>для обращения в соответствующие органы исполнительной власти за получением разрешения на ввод объекта в эксплуатацию</w:t>
      </w:r>
      <w:proofErr w:type="gramEnd"/>
      <w:r>
        <w:t>, предъявление законченного строительством объекта строительства органам государственного строительного надзора и экологического надзора (в случаях, предусмотренных законодательством Российской Федерации), предъявление законченного строительством объекта строительства уполномоченному органу для ввода в эксплуатацию.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>31. Подготовка и подписание документов для осуществления ввода объекта в эксплуатацию и его последующей регистрации в органах местного самоуправления, в установленном ими порядке.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>32. Передача завершенного строительством объекта застройщику или организациям-пользователям, уполномоченным застройщиком, или вынесение его на реализацию (продажу, отчуждение и другое).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>33. Подготовка и передача застройщику отчета о выполнении договорных обязательств и о достижении проектом необходимых параметров по результатам строительства.</w:t>
      </w:r>
    </w:p>
    <w:p w:rsidR="00D1721E" w:rsidRDefault="00D1721E">
      <w:pPr>
        <w:pStyle w:val="ConsPlusNormal"/>
        <w:spacing w:before="220"/>
        <w:ind w:firstLine="540"/>
        <w:jc w:val="both"/>
      </w:pPr>
      <w:r>
        <w:t>34. Иные функции, необходимые для достижения техническим заказчиком поставленных перед ним задач в соответствии с законодательством Российской Федерации.</w:t>
      </w:r>
    </w:p>
    <w:p w:rsidR="00D1721E" w:rsidRDefault="00D1721E">
      <w:pPr>
        <w:pStyle w:val="ConsPlusNormal"/>
        <w:jc w:val="both"/>
      </w:pPr>
    </w:p>
    <w:p w:rsidR="00D1721E" w:rsidRDefault="00D1721E">
      <w:pPr>
        <w:pStyle w:val="ConsPlusNormal"/>
        <w:jc w:val="both"/>
      </w:pPr>
    </w:p>
    <w:p w:rsidR="00D1721E" w:rsidRDefault="00D1721E">
      <w:pPr>
        <w:pStyle w:val="ConsPlusNormal"/>
        <w:jc w:val="both"/>
      </w:pPr>
    </w:p>
    <w:p w:rsidR="00D1721E" w:rsidRDefault="00D1721E">
      <w:pPr>
        <w:pStyle w:val="ConsPlusNormal"/>
        <w:jc w:val="both"/>
      </w:pPr>
    </w:p>
    <w:p w:rsidR="00D1721E" w:rsidRDefault="00D1721E">
      <w:pPr>
        <w:pStyle w:val="ConsPlusNormal"/>
        <w:jc w:val="both"/>
      </w:pPr>
    </w:p>
    <w:p w:rsidR="00D1721E" w:rsidRDefault="00D1721E">
      <w:pPr>
        <w:pStyle w:val="ConsPlusNormal"/>
        <w:jc w:val="right"/>
        <w:outlineLvl w:val="1"/>
      </w:pPr>
      <w:r>
        <w:t>Приложение N 2</w:t>
      </w:r>
    </w:p>
    <w:p w:rsidR="00D1721E" w:rsidRDefault="00D1721E">
      <w:pPr>
        <w:pStyle w:val="ConsPlusNormal"/>
        <w:jc w:val="right"/>
      </w:pPr>
      <w:r>
        <w:lastRenderedPageBreak/>
        <w:t>к Методике определения затрат</w:t>
      </w:r>
    </w:p>
    <w:p w:rsidR="00D1721E" w:rsidRDefault="00D1721E">
      <w:pPr>
        <w:pStyle w:val="ConsPlusNormal"/>
        <w:jc w:val="right"/>
      </w:pPr>
      <w:r>
        <w:t>на осуществление функций</w:t>
      </w:r>
    </w:p>
    <w:p w:rsidR="00D1721E" w:rsidRDefault="00D1721E">
      <w:pPr>
        <w:pStyle w:val="ConsPlusNormal"/>
        <w:jc w:val="right"/>
      </w:pPr>
      <w:r>
        <w:t>технического заказчика,</w:t>
      </w:r>
    </w:p>
    <w:p w:rsidR="00D1721E" w:rsidRDefault="00D1721E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приказом Министерства</w:t>
      </w:r>
    </w:p>
    <w:p w:rsidR="00D1721E" w:rsidRDefault="00D1721E">
      <w:pPr>
        <w:pStyle w:val="ConsPlusNormal"/>
        <w:jc w:val="right"/>
      </w:pPr>
      <w:r>
        <w:t>строительства и жилищно-коммунального</w:t>
      </w:r>
    </w:p>
    <w:p w:rsidR="00D1721E" w:rsidRDefault="00D1721E">
      <w:pPr>
        <w:pStyle w:val="ConsPlusNormal"/>
        <w:jc w:val="right"/>
      </w:pPr>
      <w:r>
        <w:t>хозяйства Российской Федерации</w:t>
      </w:r>
    </w:p>
    <w:p w:rsidR="00D1721E" w:rsidRDefault="00D1721E">
      <w:pPr>
        <w:pStyle w:val="ConsPlusNormal"/>
        <w:jc w:val="right"/>
      </w:pPr>
      <w:r>
        <w:t>от 2 июня 2020 г. N 297/</w:t>
      </w:r>
      <w:proofErr w:type="gramStart"/>
      <w:r>
        <w:t>пр</w:t>
      </w:r>
      <w:proofErr w:type="gramEnd"/>
    </w:p>
    <w:p w:rsidR="00D1721E" w:rsidRDefault="00D1721E">
      <w:pPr>
        <w:pStyle w:val="ConsPlusNormal"/>
        <w:jc w:val="both"/>
      </w:pPr>
    </w:p>
    <w:p w:rsidR="00D1721E" w:rsidRDefault="00D1721E">
      <w:pPr>
        <w:pStyle w:val="ConsPlusTitle"/>
        <w:jc w:val="center"/>
      </w:pPr>
      <w:bookmarkStart w:id="13" w:name="P154"/>
      <w:bookmarkEnd w:id="13"/>
      <w:r>
        <w:t>ОПРЕДЕЛЕНИЕ ЧИСЛЕННОСТИ РАБОТНИКОВ ТЕХНИЧЕСКОГО ЗАКАЗЧИКА</w:t>
      </w:r>
    </w:p>
    <w:p w:rsidR="00D1721E" w:rsidRDefault="00D1721E">
      <w:pPr>
        <w:pStyle w:val="ConsPlusTitle"/>
        <w:jc w:val="center"/>
      </w:pPr>
      <w:r>
        <w:t>ИСХОДЯ ИЗ ВЕЛИЧИНЫ СМЕТНОЙ СТОИМОСТИ СТРОИТЕЛЬСТВА ОБЪЕКТА</w:t>
      </w:r>
    </w:p>
    <w:p w:rsidR="00D1721E" w:rsidRDefault="00D1721E">
      <w:pPr>
        <w:pStyle w:val="ConsPlusTitle"/>
        <w:jc w:val="center"/>
      </w:pPr>
      <w:r>
        <w:t>КАПИТАЛЬНОГО СТРОИТЕЛЬСТВА ПО ИТОГАМ ГЛАВ 1 - 9</w:t>
      </w:r>
      <w:proofErr w:type="gramStart"/>
      <w:r>
        <w:t xml:space="preserve"> И</w:t>
      </w:r>
      <w:proofErr w:type="gramEnd"/>
      <w:r>
        <w:t xml:space="preserve"> 12 ССРСС,</w:t>
      </w:r>
    </w:p>
    <w:p w:rsidR="00D1721E" w:rsidRDefault="00D1721E">
      <w:pPr>
        <w:pStyle w:val="ConsPlusTitle"/>
        <w:jc w:val="center"/>
      </w:pPr>
      <w:proofErr w:type="gramStart"/>
      <w:r>
        <w:t>ОПРЕДЕЛЕННОЙ</w:t>
      </w:r>
      <w:proofErr w:type="gramEnd"/>
      <w:r>
        <w:t xml:space="preserve"> В УРОВНЕ ЦЕН, СЛОЖИВШЕМСЯ КО ВРЕМЕНИ</w:t>
      </w:r>
    </w:p>
    <w:p w:rsidR="00D1721E" w:rsidRDefault="00D1721E">
      <w:pPr>
        <w:pStyle w:val="ConsPlusTitle"/>
        <w:jc w:val="center"/>
      </w:pPr>
      <w:r>
        <w:t>СОСТАВЛЕНИЯ СМЕТНОЙ ДОКУМЕНТАЦИИ</w:t>
      </w:r>
    </w:p>
    <w:p w:rsidR="00D1721E" w:rsidRDefault="00D172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0"/>
        <w:gridCol w:w="2268"/>
      </w:tblGrid>
      <w:tr w:rsidR="00D1721E">
        <w:tc>
          <w:tcPr>
            <w:tcW w:w="6780" w:type="dxa"/>
          </w:tcPr>
          <w:p w:rsidR="00D1721E" w:rsidRDefault="00D1721E">
            <w:pPr>
              <w:pStyle w:val="ConsPlusNormal"/>
              <w:jc w:val="center"/>
            </w:pPr>
            <w:r>
              <w:t xml:space="preserve">Сметная стоимость строительства по главам 1 - 9, 12 ССРСС в уровне цен, сложившемся ко времени составления сметной документации, </w:t>
            </w:r>
            <w:proofErr w:type="gramStart"/>
            <w:r>
              <w:t>млн</w:t>
            </w:r>
            <w:proofErr w:type="gramEnd"/>
            <w:r>
              <w:t xml:space="preserve"> руб.</w:t>
            </w:r>
          </w:p>
        </w:tc>
        <w:tc>
          <w:tcPr>
            <w:tcW w:w="2268" w:type="dxa"/>
          </w:tcPr>
          <w:p w:rsidR="00D1721E" w:rsidRDefault="00D1721E">
            <w:pPr>
              <w:pStyle w:val="ConsPlusNormal"/>
              <w:jc w:val="center"/>
            </w:pPr>
            <w:r>
              <w:t>Численность (чел.)</w:t>
            </w:r>
          </w:p>
        </w:tc>
      </w:tr>
      <w:tr w:rsidR="00D1721E">
        <w:tc>
          <w:tcPr>
            <w:tcW w:w="6780" w:type="dxa"/>
          </w:tcPr>
          <w:p w:rsidR="00D1721E" w:rsidRDefault="00D1721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D1721E" w:rsidRDefault="00D1721E">
            <w:pPr>
              <w:pStyle w:val="ConsPlusNormal"/>
              <w:jc w:val="center"/>
            </w:pPr>
            <w:bookmarkStart w:id="14" w:name="P163"/>
            <w:bookmarkEnd w:id="14"/>
            <w:r>
              <w:t>2</w:t>
            </w:r>
          </w:p>
        </w:tc>
      </w:tr>
      <w:tr w:rsidR="00D1721E">
        <w:tc>
          <w:tcPr>
            <w:tcW w:w="6780" w:type="dxa"/>
            <w:vAlign w:val="center"/>
          </w:tcPr>
          <w:p w:rsidR="00D1721E" w:rsidRDefault="00D1721E">
            <w:pPr>
              <w:pStyle w:val="ConsPlusNormal"/>
            </w:pPr>
            <w:r>
              <w:t>до 360</w:t>
            </w:r>
          </w:p>
        </w:tc>
        <w:tc>
          <w:tcPr>
            <w:tcW w:w="2268" w:type="dxa"/>
            <w:vAlign w:val="center"/>
          </w:tcPr>
          <w:p w:rsidR="00D1721E" w:rsidRDefault="00D1721E">
            <w:pPr>
              <w:pStyle w:val="ConsPlusNormal"/>
              <w:jc w:val="center"/>
            </w:pPr>
            <w:r>
              <w:t>1</w:t>
            </w:r>
          </w:p>
        </w:tc>
      </w:tr>
      <w:tr w:rsidR="00D1721E">
        <w:tc>
          <w:tcPr>
            <w:tcW w:w="6780" w:type="dxa"/>
            <w:vAlign w:val="center"/>
          </w:tcPr>
          <w:p w:rsidR="00D1721E" w:rsidRDefault="00D1721E">
            <w:pPr>
              <w:pStyle w:val="ConsPlusNormal"/>
            </w:pPr>
            <w:r>
              <w:t>свыше 360 до 720</w:t>
            </w:r>
          </w:p>
        </w:tc>
        <w:tc>
          <w:tcPr>
            <w:tcW w:w="2268" w:type="dxa"/>
            <w:vAlign w:val="center"/>
          </w:tcPr>
          <w:p w:rsidR="00D1721E" w:rsidRDefault="00D1721E">
            <w:pPr>
              <w:pStyle w:val="ConsPlusNormal"/>
              <w:jc w:val="center"/>
            </w:pPr>
            <w:r>
              <w:t>2</w:t>
            </w:r>
          </w:p>
        </w:tc>
      </w:tr>
      <w:tr w:rsidR="00D1721E">
        <w:tc>
          <w:tcPr>
            <w:tcW w:w="6780" w:type="dxa"/>
          </w:tcPr>
          <w:p w:rsidR="00D1721E" w:rsidRDefault="00D1721E">
            <w:pPr>
              <w:pStyle w:val="ConsPlusNormal"/>
            </w:pPr>
            <w:r>
              <w:t>свыше 720 до 900</w:t>
            </w:r>
          </w:p>
        </w:tc>
        <w:tc>
          <w:tcPr>
            <w:tcW w:w="2268" w:type="dxa"/>
          </w:tcPr>
          <w:p w:rsidR="00D1721E" w:rsidRDefault="00D1721E">
            <w:pPr>
              <w:pStyle w:val="ConsPlusNormal"/>
              <w:jc w:val="center"/>
            </w:pPr>
            <w:r>
              <w:t>3</w:t>
            </w:r>
          </w:p>
        </w:tc>
      </w:tr>
      <w:tr w:rsidR="00D1721E">
        <w:tc>
          <w:tcPr>
            <w:tcW w:w="6780" w:type="dxa"/>
          </w:tcPr>
          <w:p w:rsidR="00D1721E" w:rsidRDefault="00D1721E">
            <w:pPr>
              <w:pStyle w:val="ConsPlusNormal"/>
            </w:pPr>
            <w:r>
              <w:t>свыше 900 до 1100</w:t>
            </w:r>
          </w:p>
        </w:tc>
        <w:tc>
          <w:tcPr>
            <w:tcW w:w="2268" w:type="dxa"/>
          </w:tcPr>
          <w:p w:rsidR="00D1721E" w:rsidRDefault="00D1721E">
            <w:pPr>
              <w:pStyle w:val="ConsPlusNormal"/>
              <w:jc w:val="center"/>
            </w:pPr>
            <w:r>
              <w:t>4</w:t>
            </w:r>
          </w:p>
        </w:tc>
      </w:tr>
      <w:tr w:rsidR="00D1721E">
        <w:tc>
          <w:tcPr>
            <w:tcW w:w="6780" w:type="dxa"/>
          </w:tcPr>
          <w:p w:rsidR="00D1721E" w:rsidRDefault="00D1721E">
            <w:pPr>
              <w:pStyle w:val="ConsPlusNormal"/>
            </w:pPr>
            <w:r>
              <w:t>свыше 1100 до 1450</w:t>
            </w:r>
          </w:p>
        </w:tc>
        <w:tc>
          <w:tcPr>
            <w:tcW w:w="2268" w:type="dxa"/>
          </w:tcPr>
          <w:p w:rsidR="00D1721E" w:rsidRDefault="00D1721E">
            <w:pPr>
              <w:pStyle w:val="ConsPlusNormal"/>
              <w:jc w:val="center"/>
            </w:pPr>
            <w:r>
              <w:t>5</w:t>
            </w:r>
          </w:p>
        </w:tc>
      </w:tr>
      <w:tr w:rsidR="00D1721E">
        <w:tc>
          <w:tcPr>
            <w:tcW w:w="6780" w:type="dxa"/>
            <w:vAlign w:val="center"/>
          </w:tcPr>
          <w:p w:rsidR="00D1721E" w:rsidRDefault="00D1721E">
            <w:pPr>
              <w:pStyle w:val="ConsPlusNormal"/>
            </w:pPr>
            <w:r>
              <w:t>свыше 1450 до 2200</w:t>
            </w:r>
          </w:p>
        </w:tc>
        <w:tc>
          <w:tcPr>
            <w:tcW w:w="2268" w:type="dxa"/>
            <w:vAlign w:val="center"/>
          </w:tcPr>
          <w:p w:rsidR="00D1721E" w:rsidRDefault="00D1721E">
            <w:pPr>
              <w:pStyle w:val="ConsPlusNormal"/>
              <w:jc w:val="center"/>
            </w:pPr>
            <w:r>
              <w:t>6</w:t>
            </w:r>
          </w:p>
        </w:tc>
      </w:tr>
      <w:tr w:rsidR="00D1721E">
        <w:tc>
          <w:tcPr>
            <w:tcW w:w="6780" w:type="dxa"/>
          </w:tcPr>
          <w:p w:rsidR="00D1721E" w:rsidRDefault="00D1721E">
            <w:pPr>
              <w:pStyle w:val="ConsPlusNormal"/>
            </w:pPr>
            <w:r>
              <w:t>свыше 2200 до 2900</w:t>
            </w:r>
          </w:p>
        </w:tc>
        <w:tc>
          <w:tcPr>
            <w:tcW w:w="2268" w:type="dxa"/>
          </w:tcPr>
          <w:p w:rsidR="00D1721E" w:rsidRDefault="00D1721E">
            <w:pPr>
              <w:pStyle w:val="ConsPlusNormal"/>
              <w:jc w:val="center"/>
            </w:pPr>
            <w:r>
              <w:t>7</w:t>
            </w:r>
          </w:p>
        </w:tc>
      </w:tr>
      <w:tr w:rsidR="00D1721E">
        <w:tc>
          <w:tcPr>
            <w:tcW w:w="6780" w:type="dxa"/>
            <w:vAlign w:val="center"/>
          </w:tcPr>
          <w:p w:rsidR="00D1721E" w:rsidRDefault="00D1721E">
            <w:pPr>
              <w:pStyle w:val="ConsPlusNormal"/>
            </w:pPr>
            <w:r>
              <w:t>свыше 2900 до 3600</w:t>
            </w:r>
          </w:p>
        </w:tc>
        <w:tc>
          <w:tcPr>
            <w:tcW w:w="2268" w:type="dxa"/>
            <w:vAlign w:val="center"/>
          </w:tcPr>
          <w:p w:rsidR="00D1721E" w:rsidRDefault="00D1721E">
            <w:pPr>
              <w:pStyle w:val="ConsPlusNormal"/>
              <w:jc w:val="center"/>
            </w:pPr>
            <w:r>
              <w:t>8</w:t>
            </w:r>
          </w:p>
        </w:tc>
      </w:tr>
      <w:tr w:rsidR="00D1721E">
        <w:tc>
          <w:tcPr>
            <w:tcW w:w="6780" w:type="dxa"/>
          </w:tcPr>
          <w:p w:rsidR="00D1721E" w:rsidRDefault="00D1721E">
            <w:pPr>
              <w:pStyle w:val="ConsPlusNormal"/>
            </w:pPr>
            <w:r>
              <w:t>свыше 3600 до 4350</w:t>
            </w:r>
          </w:p>
        </w:tc>
        <w:tc>
          <w:tcPr>
            <w:tcW w:w="2268" w:type="dxa"/>
          </w:tcPr>
          <w:p w:rsidR="00D1721E" w:rsidRDefault="00D1721E">
            <w:pPr>
              <w:pStyle w:val="ConsPlusNormal"/>
              <w:jc w:val="center"/>
            </w:pPr>
            <w:r>
              <w:t>9</w:t>
            </w:r>
          </w:p>
        </w:tc>
      </w:tr>
      <w:tr w:rsidR="00D1721E">
        <w:tc>
          <w:tcPr>
            <w:tcW w:w="6780" w:type="dxa"/>
            <w:vAlign w:val="center"/>
          </w:tcPr>
          <w:p w:rsidR="00D1721E" w:rsidRDefault="00D1721E">
            <w:pPr>
              <w:pStyle w:val="ConsPlusNormal"/>
            </w:pPr>
            <w:r>
              <w:t>свыше 4350 до 5400</w:t>
            </w:r>
          </w:p>
        </w:tc>
        <w:tc>
          <w:tcPr>
            <w:tcW w:w="2268" w:type="dxa"/>
            <w:vAlign w:val="center"/>
          </w:tcPr>
          <w:p w:rsidR="00D1721E" w:rsidRDefault="00D1721E">
            <w:pPr>
              <w:pStyle w:val="ConsPlusNormal"/>
              <w:jc w:val="center"/>
            </w:pPr>
            <w:r>
              <w:t>10</w:t>
            </w:r>
          </w:p>
        </w:tc>
      </w:tr>
      <w:tr w:rsidR="00D1721E">
        <w:tc>
          <w:tcPr>
            <w:tcW w:w="6780" w:type="dxa"/>
            <w:vAlign w:val="center"/>
          </w:tcPr>
          <w:p w:rsidR="00D1721E" w:rsidRDefault="00D1721E">
            <w:pPr>
              <w:pStyle w:val="ConsPlusNormal"/>
            </w:pPr>
            <w:r>
              <w:t>свыше 5400 до 6500</w:t>
            </w:r>
          </w:p>
        </w:tc>
        <w:tc>
          <w:tcPr>
            <w:tcW w:w="2268" w:type="dxa"/>
            <w:vAlign w:val="center"/>
          </w:tcPr>
          <w:p w:rsidR="00D1721E" w:rsidRDefault="00D1721E">
            <w:pPr>
              <w:pStyle w:val="ConsPlusNormal"/>
              <w:jc w:val="center"/>
            </w:pPr>
            <w:r>
              <w:t>12</w:t>
            </w:r>
          </w:p>
        </w:tc>
      </w:tr>
    </w:tbl>
    <w:p w:rsidR="00D1721E" w:rsidRDefault="00D1721E">
      <w:pPr>
        <w:pStyle w:val="ConsPlusNormal"/>
        <w:jc w:val="both"/>
      </w:pPr>
    </w:p>
    <w:p w:rsidR="00D1721E" w:rsidRDefault="00D1721E">
      <w:pPr>
        <w:pStyle w:val="ConsPlusNormal"/>
        <w:jc w:val="both"/>
      </w:pPr>
    </w:p>
    <w:p w:rsidR="00D1721E" w:rsidRDefault="00D172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7D1C" w:rsidRDefault="00717D1C"/>
    <w:sectPr w:rsidR="00717D1C" w:rsidSect="0030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1E"/>
    <w:rsid w:val="00717D1C"/>
    <w:rsid w:val="00D1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7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72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7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72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72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E63D97B5924A95DEA1103BC8A99306F5847CCD53E724C56E983D64D9008E25BA7D21CF09A0704BFAC707FF681DAEA5D1243330AB53C7F2603a2M" TargetMode="External"/><Relationship Id="rId18" Type="http://schemas.openxmlformats.org/officeDocument/2006/relationships/hyperlink" Target="consultantplus://offline/ref=CE63D97B5924A95DEA1103BC8A99306F5A46C3D339794C56E983D64D9008E25BA7D21CF0990304B9A72F7AE39082E55B085D3413A93E7D02a4M" TargetMode="External"/><Relationship Id="rId26" Type="http://schemas.openxmlformats.org/officeDocument/2006/relationships/hyperlink" Target="consultantplus://offline/ref=CE63D97B5924A95DEA1103BC8A99306F5A46C3D339794C56E983D64D9008E25BA7D21CF09A040DBAAA707FF681DAEA5D1243330AB53C7F2603a2M" TargetMode="External"/><Relationship Id="rId39" Type="http://schemas.openxmlformats.org/officeDocument/2006/relationships/hyperlink" Target="consultantplus://offline/ref=CE63D97B5924A95DEA1103BC8A99306F584BC7D53C7F4C56E983D64D9008E25BB5D244FC98031ABBAB6529A7C708aFM" TargetMode="External"/><Relationship Id="rId21" Type="http://schemas.openxmlformats.org/officeDocument/2006/relationships/hyperlink" Target="consultantplus://offline/ref=CE63D97B5924A95DEA1103BC8A99306F5A46C3D339794C56E983D64D9008E25BA7D21CF099020DBAA72F7AE39082E55B085D3413A93E7D02a4M" TargetMode="External"/><Relationship Id="rId34" Type="http://schemas.openxmlformats.org/officeDocument/2006/relationships/hyperlink" Target="consultantplus://offline/ref=CE63D97B5924A95DEA1103BC8A99306F5A47C6D13C734C56E983D64D9008E25BB5D244FC98031ABBAB6529A7C708aFM" TargetMode="External"/><Relationship Id="rId42" Type="http://schemas.openxmlformats.org/officeDocument/2006/relationships/hyperlink" Target="consultantplus://offline/ref=CE63D97B5924A95DEA1103BC8A99306F5846C3D4367A4C56E983D64D9008E25BB5D244FC98031ABBAB6529A7C708aFM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CE63D97B5924A95DEA1103BC8A99306F5A46C3D338794C56E983D64D9008E25BA7D21CF0930F01B0F82A6FF2C88DE341165A2D0FAB3C07aF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E63D97B5924A95DEA1103BC8A99306F5A46C3D339794C56E983D64D9008E25BA7D21CF099040CB8A72F7AE39082E55B085D3413A93E7D02a4M" TargetMode="External"/><Relationship Id="rId29" Type="http://schemas.openxmlformats.org/officeDocument/2006/relationships/hyperlink" Target="consultantplus://offline/ref=CE63D97B5924A95DEA1103BC8A99306F5A46C3D339794C56E983D64D9008E25BA7D21CF0990205B0F82A6FF2C88DE341165A2D0FAB3C07a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63D97B5924A95DEA1103BC8A99306F5A46C3D338794C56E983D64D9008E25BA7D21CF0930F07B0F82A6FF2C88DE341165A2D0FAB3C07aFM" TargetMode="External"/><Relationship Id="rId11" Type="http://schemas.openxmlformats.org/officeDocument/2006/relationships/hyperlink" Target="consultantplus://offline/ref=CE63D97B5924A95DEA1103BC8A99306F5843C5D5367A4C56E983D64D9008E25BB5D244FC98031ABBAB6529A7C708aFM" TargetMode="External"/><Relationship Id="rId24" Type="http://schemas.openxmlformats.org/officeDocument/2006/relationships/hyperlink" Target="consultantplus://offline/ref=CE63D97B5924A95DEA1103BC8A99306F5A46C3D339794C56E983D64D9008E25BA7D21CF39A0F0FEFFD3F7EAAC78BF95F1143310DA903aEM" TargetMode="External"/><Relationship Id="rId32" Type="http://schemas.openxmlformats.org/officeDocument/2006/relationships/hyperlink" Target="consultantplus://offline/ref=CE63D97B5924A95DEA1103BC8A99306F5A46C3D339794C56E983D64D9008E25BA7D21CF09A0504BCAD707FF681DAEA5D1243330AB53C7F2603a2M" TargetMode="External"/><Relationship Id="rId37" Type="http://schemas.openxmlformats.org/officeDocument/2006/relationships/hyperlink" Target="consultantplus://offline/ref=CE63D97B5924A95DEA1103BC8A99306F584AC1D33C7C4C56E983D64D9008E25BB5D244FC98031ABBAB6529A7C708aFM" TargetMode="External"/><Relationship Id="rId40" Type="http://schemas.openxmlformats.org/officeDocument/2006/relationships/hyperlink" Target="consultantplus://offline/ref=CE63D97B5924A95DEA1103BC8A99306F5B43C7D13F7A4C56E983D64D9008E25BA7D21CF09A0704BAA8707FF681DAEA5D1243330AB53C7F2603a2M" TargetMode="External"/><Relationship Id="rId45" Type="http://schemas.openxmlformats.org/officeDocument/2006/relationships/hyperlink" Target="consultantplus://offline/ref=CE63D97B5924A95DEA1103BC8A99306F5A41CDD73A7E4C56E983D64D9008E25BB5D244FC98031ABBAB6529A7C708aF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E63D97B5924A95DEA1103BC8A99306F5A46C3D338794C56E983D64D9008E25BA7D21CF0990E0FEFFD3F7EAAC78BF95F1143310DA903aEM" TargetMode="External"/><Relationship Id="rId23" Type="http://schemas.openxmlformats.org/officeDocument/2006/relationships/hyperlink" Target="consultantplus://offline/ref=CE63D97B5924A95DEA1103BC8A99306F5A46C3D339794C56E983D64D9008E25BA7D21CF39A040FEFFD3F7EAAC78BF95F1143310DA903aEM" TargetMode="External"/><Relationship Id="rId28" Type="http://schemas.openxmlformats.org/officeDocument/2006/relationships/hyperlink" Target="consultantplus://offline/ref=CE63D97B5924A95DEA1103BC8A99306F5A46C3D339794C56E983D64D9008E25BA7D21CF09A040DB8A5707FF681DAEA5D1243330AB53C7F2603a2M" TargetMode="External"/><Relationship Id="rId36" Type="http://schemas.openxmlformats.org/officeDocument/2006/relationships/hyperlink" Target="consultantplus://offline/ref=CE63D97B5924A95DEA1103BC8A99306F5A46C7D13B7F4C56E983D64D9008E25BA7D21CF69E050FEFFD3F7EAAC78BF95F1143310DA903aEM" TargetMode="External"/><Relationship Id="rId10" Type="http://schemas.openxmlformats.org/officeDocument/2006/relationships/hyperlink" Target="consultantplus://offline/ref=CE63D97B5924A95DEA1103BC8A99306F5A46C3D338794C56E983D64D9008E25BA7D21CF29A0300B0F82A6FF2C88DE341165A2D0FAB3C07aFM" TargetMode="External"/><Relationship Id="rId19" Type="http://schemas.openxmlformats.org/officeDocument/2006/relationships/hyperlink" Target="consultantplus://offline/ref=CE63D97B5924A95DEA1103BC8A99306F5A46C3D339794C56E983D64D9008E25BA7D21CF0990303BBA72F7AE39082E55B085D3413A93E7D02a4M" TargetMode="External"/><Relationship Id="rId31" Type="http://schemas.openxmlformats.org/officeDocument/2006/relationships/hyperlink" Target="consultantplus://offline/ref=CE63D97B5924A95DEA1103BC8A99306F5A46C3D339794C56E983D64D9008E25BA7D21CF0990E05B0F82A6FF2C88DE341165A2D0FAB3C07aFM" TargetMode="External"/><Relationship Id="rId44" Type="http://schemas.openxmlformats.org/officeDocument/2006/relationships/hyperlink" Target="consultantplus://offline/ref=CE63D97B5924A95DEA1103BC8A99306F5A47C6D63C724C56E983D64D9008E25BB5D244FC98031ABBAB6529A7C708a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63D97B5924A95DEA1103BC8A99306F5A47CDD53A7E4C56E983D64D9008E25BA7D21CF09A0706B2AE707FF681DAEA5D1243330AB53C7F2603a2M" TargetMode="External"/><Relationship Id="rId14" Type="http://schemas.openxmlformats.org/officeDocument/2006/relationships/hyperlink" Target="consultantplus://offline/ref=CE63D97B5924A95DEA1103BC8A99306F5A41C1D036734C56E983D64D9008E25BA7D21CF09A0704BAAB707FF681DAEA5D1243330AB53C7F2603a2M" TargetMode="External"/><Relationship Id="rId22" Type="http://schemas.openxmlformats.org/officeDocument/2006/relationships/hyperlink" Target="consultantplus://offline/ref=CE63D97B5924A95DEA1103BC8A99306F5A46C3D339794C56E983D64D9008E25BA7D21CF0990106BBA72F7AE39082E55B085D3413A93E7D02a4M" TargetMode="External"/><Relationship Id="rId27" Type="http://schemas.openxmlformats.org/officeDocument/2006/relationships/hyperlink" Target="consultantplus://offline/ref=CE63D97B5924A95DEA1103BC8A99306F5A46C3D339794C56E983D64D9008E25BA7D21CF09A040DBAA5707FF681DAEA5D1243330AB53C7F2603a2M" TargetMode="External"/><Relationship Id="rId30" Type="http://schemas.openxmlformats.org/officeDocument/2006/relationships/hyperlink" Target="consultantplus://offline/ref=CE63D97B5924A95DEA1103BC8A99306F5A46C3D339794C56E983D64D9008E25BA7D21CF0990200B0F82A6FF2C88DE341165A2D0FAB3C07aFM" TargetMode="External"/><Relationship Id="rId35" Type="http://schemas.openxmlformats.org/officeDocument/2006/relationships/hyperlink" Target="consultantplus://offline/ref=CE63D97B5924A95DEA1103BC8A99306F5A46C7D13B7F4C56E983D64D9008E25BA7D21CF09A0604BDAB707FF681DAEA5D1243330AB53C7F2603a2M" TargetMode="External"/><Relationship Id="rId43" Type="http://schemas.openxmlformats.org/officeDocument/2006/relationships/hyperlink" Target="consultantplus://offline/ref=CE63D97B5924A95DEA1103BC8A99306F5A46C5D03B7A4C56E983D64D9008E25BB5D244FC98031ABBAB6529A7C708aFM" TargetMode="External"/><Relationship Id="rId8" Type="http://schemas.openxmlformats.org/officeDocument/2006/relationships/hyperlink" Target="consultantplus://offline/ref=CE63D97B5924A95DEA1103BC8A99306F5A46C3D338794C56E983D64D9008E25BA7D21CF39A070DB0F82A6FF2C88DE341165A2D0FAB3C07aF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E63D97B5924A95DEA1103BC8A99306F5A46C3D338794C56E983D64D9008E25BA7D21CF0990E0FEFFD3F7EAAC78BF95F1143310DA903aEM" TargetMode="External"/><Relationship Id="rId17" Type="http://schemas.openxmlformats.org/officeDocument/2006/relationships/hyperlink" Target="consultantplus://offline/ref=CE63D97B5924A95DEA1103BC8A99306F5A46C3D339794C56E983D64D9008E25BA7D21CF099040DBAA72F7AE39082E55B085D3413A93E7D02a4M" TargetMode="External"/><Relationship Id="rId25" Type="http://schemas.openxmlformats.org/officeDocument/2006/relationships/hyperlink" Target="consultantplus://offline/ref=CE63D97B5924A95DEA1103BC8A99306F5A46C3D339794C56E983D64D9008E25BA7D21CF399000FEFFD3F7EAAC78BF95F1143310DA903aEM" TargetMode="External"/><Relationship Id="rId33" Type="http://schemas.openxmlformats.org/officeDocument/2006/relationships/hyperlink" Target="consultantplus://offline/ref=CE63D97B5924A95DEA1103BC8A99306F5A46C3D339794C56E983D64D9008E25BA7D21CF599070CB0F82A6FF2C88DE341165A2D0FAB3C07aFM" TargetMode="External"/><Relationship Id="rId38" Type="http://schemas.openxmlformats.org/officeDocument/2006/relationships/hyperlink" Target="consultantplus://offline/ref=CE63D97B5924A95DEA1103BC8A99306F5A41CDD73A7D4C56E983D64D9008E25BB5D244FC98031ABBAB6529A7C708aFM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CE63D97B5924A95DEA1103BC8A99306F5A46C3D339794C56E983D64D9008E25BA7D21CF099030CBEA72F7AE39082E55B085D3413A93E7D02a4M" TargetMode="External"/><Relationship Id="rId41" Type="http://schemas.openxmlformats.org/officeDocument/2006/relationships/hyperlink" Target="consultantplus://offline/ref=CE63D97B5924A95DEA1103BC8A99306F5A46C7D13B7F4C56E983D64D9008E25BA7D21CF3980105B0F82A6FF2C88DE341165A2D0FAB3C07a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6068</Words>
  <Characters>34592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2020-07-24T12:26:00Z</dcterms:created>
  <dcterms:modified xsi:type="dcterms:W3CDTF">2020-07-24T12:27:00Z</dcterms:modified>
</cp:coreProperties>
</file>